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E1" w:rsidRDefault="00AB26E1" w:rsidP="00AB26E1">
      <w:pPr>
        <w:rPr>
          <w:b/>
          <w:sz w:val="32"/>
          <w:szCs w:val="32"/>
        </w:rPr>
      </w:pPr>
      <w:bookmarkStart w:id="0" w:name="_GoBack"/>
      <w:bookmarkEnd w:id="0"/>
      <w:r w:rsidRPr="002C3868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CBA9B7C" wp14:editId="1DEBF02A">
            <wp:simplePos x="0" y="0"/>
            <wp:positionH relativeFrom="column">
              <wp:posOffset>-647065</wp:posOffset>
            </wp:positionH>
            <wp:positionV relativeFrom="paragraph">
              <wp:posOffset>-259715</wp:posOffset>
            </wp:positionV>
            <wp:extent cx="698500" cy="758825"/>
            <wp:effectExtent l="0" t="0" r="635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8C8">
        <w:rPr>
          <w:b/>
          <w:noProof/>
          <w:color w:val="0070C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94881" wp14:editId="050F877C">
                <wp:simplePos x="0" y="0"/>
                <wp:positionH relativeFrom="column">
                  <wp:posOffset>-805815</wp:posOffset>
                </wp:positionH>
                <wp:positionV relativeFrom="paragraph">
                  <wp:posOffset>-208915</wp:posOffset>
                </wp:positionV>
                <wp:extent cx="7800975" cy="63817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0975" cy="6381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6E1" w:rsidRPr="007A790B" w:rsidRDefault="00AB26E1" w:rsidP="00AB26E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  <w:t xml:space="preserve">       </w:t>
                            </w:r>
                            <w:r w:rsidRPr="002C386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Leicester City Transition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45pt;margin-top:-16.45pt;width:614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" fillcolor="#0070c0">
                <v:textbox>
                  <w:txbxContent>
                    <w:p w:rsidR="00AB26E1" w:rsidRPr="007A790B" w:rsidRDefault="00AB26E1" w:rsidP="00AB26E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ab/>
                        <w:t xml:space="preserve">       </w:t>
                      </w:r>
                      <w:r w:rsidRPr="002C3868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Leicester City Transition plan</w:t>
                      </w:r>
                    </w:p>
                  </w:txbxContent>
                </v:textbox>
              </v:shape>
            </w:pict>
          </mc:Fallback>
        </mc:AlternateContent>
      </w:r>
    </w:p>
    <w:p w:rsidR="00AB26E1" w:rsidRDefault="00AB26E1" w:rsidP="00AB26E1">
      <w:pPr>
        <w:rPr>
          <w:b/>
          <w:sz w:val="32"/>
          <w:szCs w:val="32"/>
        </w:rPr>
      </w:pPr>
    </w:p>
    <w:p w:rsidR="007A790B" w:rsidRPr="003F02F9" w:rsidRDefault="007A790B" w:rsidP="003E22C5">
      <w:pPr>
        <w:rPr>
          <w:b/>
        </w:rPr>
      </w:pPr>
      <w:r>
        <w:rPr>
          <w:b/>
        </w:rPr>
        <w:t>Introduction</w:t>
      </w:r>
    </w:p>
    <w:p w:rsidR="0017413D" w:rsidRPr="00481D63" w:rsidRDefault="00481D63" w:rsidP="003E22C5">
      <w:proofErr w:type="gramStart"/>
      <w:r w:rsidRPr="00481D63">
        <w:t xml:space="preserve">Following the introduction of the Children and Families Act 2014, </w:t>
      </w:r>
      <w:r w:rsidR="003F02F9">
        <w:t>S</w:t>
      </w:r>
      <w:r w:rsidRPr="00481D63">
        <w:t xml:space="preserve">tatements of </w:t>
      </w:r>
      <w:r w:rsidR="003F02F9">
        <w:t>Special Educational N</w:t>
      </w:r>
      <w:r w:rsidR="007A790B">
        <w:t>eeds</w:t>
      </w:r>
      <w:r w:rsidRPr="00481D63">
        <w:t xml:space="preserve"> </w:t>
      </w:r>
      <w:r w:rsidR="003F02F9">
        <w:t xml:space="preserve">and </w:t>
      </w:r>
      <w:r w:rsidRPr="00481D63">
        <w:t xml:space="preserve">are being replaced by </w:t>
      </w:r>
      <w:r w:rsidR="0017413D" w:rsidRPr="00481D63">
        <w:t xml:space="preserve">Education, Health and Care </w:t>
      </w:r>
      <w:r w:rsidR="0017413D">
        <w:t>(</w:t>
      </w:r>
      <w:r w:rsidR="0017413D" w:rsidRPr="00481D63">
        <w:t>EHC</w:t>
      </w:r>
      <w:r w:rsidR="0017413D">
        <w:t>)</w:t>
      </w:r>
      <w:r w:rsidR="0017413D" w:rsidRPr="00481D63">
        <w:t xml:space="preserve"> plans.</w:t>
      </w:r>
      <w:proofErr w:type="gramEnd"/>
      <w:r w:rsidR="0017413D" w:rsidRPr="00481D63">
        <w:t xml:space="preserve"> </w:t>
      </w:r>
      <w:r w:rsidR="0017413D">
        <w:t xml:space="preserve">Young people in Further Education who </w:t>
      </w:r>
      <w:r w:rsidR="0017413D" w:rsidRPr="00FC4A14">
        <w:t xml:space="preserve">are currently receiving support as a result of a </w:t>
      </w:r>
      <w:r w:rsidR="0017413D" w:rsidRPr="00481D63">
        <w:t>Section 139a Learning Difficulty Assessments</w:t>
      </w:r>
      <w:r w:rsidR="0017413D">
        <w:t xml:space="preserve"> (</w:t>
      </w:r>
      <w:r w:rsidR="0017413D" w:rsidRPr="00FC4A14">
        <w:t>LDA</w:t>
      </w:r>
      <w:r w:rsidR="0017413D">
        <w:t>)</w:t>
      </w:r>
      <w:r w:rsidR="0017413D" w:rsidRPr="00FC4A14">
        <w:t xml:space="preserve"> </w:t>
      </w:r>
      <w:r w:rsidR="0017413D">
        <w:t xml:space="preserve">and </w:t>
      </w:r>
      <w:r w:rsidR="0017413D" w:rsidRPr="00FC4A14">
        <w:t xml:space="preserve">who request and need </w:t>
      </w:r>
      <w:r w:rsidR="0017413D">
        <w:t xml:space="preserve">this level of support </w:t>
      </w:r>
      <w:r w:rsidR="0017413D" w:rsidRPr="00FC4A14">
        <w:t xml:space="preserve">will </w:t>
      </w:r>
      <w:r w:rsidR="0017413D">
        <w:t xml:space="preserve">also </w:t>
      </w:r>
      <w:r w:rsidR="0017413D" w:rsidRPr="00FC4A14">
        <w:t xml:space="preserve">be </w:t>
      </w:r>
      <w:r w:rsidR="0017413D">
        <w:t>transferred to an EHC plan</w:t>
      </w:r>
      <w:r w:rsidR="0017413D" w:rsidRPr="00FC4A14">
        <w:t>.</w:t>
      </w:r>
    </w:p>
    <w:p w:rsidR="007A790B" w:rsidRPr="00481D63" w:rsidRDefault="007A790B" w:rsidP="003E22C5">
      <w:r w:rsidRPr="00481D63">
        <w:t xml:space="preserve">This will be done over a 3 </w:t>
      </w:r>
      <w:r w:rsidR="004F1400">
        <w:t xml:space="preserve">½ </w:t>
      </w:r>
      <w:r w:rsidRPr="00481D63">
        <w:t xml:space="preserve">year period with those children or young people who are about to leave their current placement being prioritized first. Children or young people with statements </w:t>
      </w:r>
      <w:r>
        <w:t xml:space="preserve">or LDAs </w:t>
      </w:r>
      <w:r w:rsidRPr="00481D63">
        <w:t xml:space="preserve">will continue to have the same rights and support up to the point </w:t>
      </w:r>
      <w:r>
        <w:t>where</w:t>
      </w:r>
      <w:r w:rsidRPr="00481D63">
        <w:t xml:space="preserve"> this is replaced by an EHC plan. </w:t>
      </w:r>
      <w:r>
        <w:t xml:space="preserve"> </w:t>
      </w:r>
    </w:p>
    <w:p w:rsidR="007A790B" w:rsidRDefault="007A790B" w:rsidP="003E22C5">
      <w:pPr>
        <w:tabs>
          <w:tab w:val="left" w:pos="3483"/>
        </w:tabs>
      </w:pPr>
      <w:r w:rsidRPr="00481D63">
        <w:t xml:space="preserve">An EHC plan will provide better co-ordinated and outcome focused planning for children and young people supporting their transition to further education/training, employment, independent living and support up to the age of 25 years where they require this. An EHC plan also provides greater personalisation of support including the option of a personal budget. </w:t>
      </w:r>
    </w:p>
    <w:p w:rsidR="007A790B" w:rsidRDefault="007A790B" w:rsidP="003E22C5">
      <w:r>
        <w:t xml:space="preserve">This plan describes how and when Leicester City proposes to transfer children and young people with statements or </w:t>
      </w:r>
      <w:r w:rsidRPr="00481D63">
        <w:t>LDA</w:t>
      </w:r>
      <w:r>
        <w:t xml:space="preserve">s to the new </w:t>
      </w:r>
      <w:r w:rsidRPr="00481D63">
        <w:t>EHC plans</w:t>
      </w:r>
      <w:r>
        <w:t>.</w:t>
      </w:r>
    </w:p>
    <w:p w:rsidR="007A790B" w:rsidRPr="007A790B" w:rsidRDefault="007A790B" w:rsidP="003E22C5">
      <w:pPr>
        <w:rPr>
          <w:b/>
        </w:rPr>
      </w:pPr>
      <w:r w:rsidRPr="007A790B">
        <w:rPr>
          <w:b/>
        </w:rPr>
        <w:t>The transfer review</w:t>
      </w:r>
    </w:p>
    <w:p w:rsidR="007A790B" w:rsidRPr="007A790B" w:rsidRDefault="007A790B" w:rsidP="003E22C5">
      <w:r w:rsidRPr="007A790B">
        <w:t>Children and youn</w:t>
      </w:r>
      <w:r>
        <w:t xml:space="preserve">g people with statements or LDAs </w:t>
      </w:r>
      <w:r w:rsidRPr="007A790B">
        <w:t xml:space="preserve">are being transferred to EHC plans through a transfer review as part of an assessment of the child or young person’s education, health and care needs. </w:t>
      </w:r>
    </w:p>
    <w:p w:rsidR="005D7797" w:rsidRPr="007A790B" w:rsidRDefault="005D7797" w:rsidP="005D7797">
      <w:r w:rsidRPr="007A790B">
        <w:t xml:space="preserve">The </w:t>
      </w:r>
      <w:r>
        <w:t>L</w:t>
      </w:r>
      <w:r w:rsidRPr="007A790B">
        <w:t xml:space="preserve">ocal </w:t>
      </w:r>
      <w:r>
        <w:t>A</w:t>
      </w:r>
      <w:r w:rsidRPr="007A790B">
        <w:t xml:space="preserve">uthority is responsible for organising the process for converting statements to plans and for agreeing a new EHC plan. However, the </w:t>
      </w:r>
      <w:r>
        <w:t>L</w:t>
      </w:r>
      <w:r w:rsidRPr="007A790B">
        <w:t xml:space="preserve">ocal </w:t>
      </w:r>
      <w:r>
        <w:t>A</w:t>
      </w:r>
      <w:r w:rsidRPr="007A790B">
        <w:t>uthority will requ</w:t>
      </w:r>
      <w:r w:rsidR="00D43279">
        <w:t>est</w:t>
      </w:r>
      <w:r w:rsidRPr="007A790B">
        <w:t xml:space="preserve"> the school</w:t>
      </w:r>
      <w:r>
        <w:t>, college or setting</w:t>
      </w:r>
      <w:r w:rsidRPr="007A790B">
        <w:t xml:space="preserve"> to arrange and hold the transfer review. </w:t>
      </w:r>
    </w:p>
    <w:p w:rsidR="005D7797" w:rsidRPr="005D7797" w:rsidRDefault="007A790B" w:rsidP="003E22C5">
      <w:pPr>
        <w:rPr>
          <w:color w:val="FF0000"/>
        </w:rPr>
      </w:pPr>
      <w:r w:rsidRPr="007A790B">
        <w:t>A transfer review is a one off meeting led by the school</w:t>
      </w:r>
      <w:r w:rsidR="00BE6218">
        <w:t>, college or setting</w:t>
      </w:r>
      <w:r w:rsidRPr="007A790B">
        <w:t xml:space="preserve"> with the child or young person and their parents/carers and other involved professionals where the child or young person’s views, interests</w:t>
      </w:r>
      <w:r w:rsidR="00BE6218">
        <w:t xml:space="preserve"> and</w:t>
      </w:r>
      <w:r w:rsidRPr="007A790B">
        <w:t xml:space="preserve"> aspirations, current educational, health and care needs, outcomes and ongoing</w:t>
      </w:r>
      <w:r w:rsidR="00BE6218">
        <w:t xml:space="preserve"> support needs (including the option of a personal budget)</w:t>
      </w:r>
      <w:r w:rsidRPr="007A790B">
        <w:t xml:space="preserve"> are discussed. This is done as part of the </w:t>
      </w:r>
      <w:r w:rsidR="00BE6218" w:rsidRPr="008A5788">
        <w:t xml:space="preserve">existing processes for reviewing </w:t>
      </w:r>
      <w:r w:rsidR="00BE6218">
        <w:t xml:space="preserve">children and young peoples’ </w:t>
      </w:r>
      <w:r w:rsidR="00BE6218" w:rsidRPr="008A5788">
        <w:t>progress</w:t>
      </w:r>
      <w:r w:rsidR="00BE6218">
        <w:t xml:space="preserve">. </w:t>
      </w:r>
    </w:p>
    <w:p w:rsidR="00986C76" w:rsidRPr="00986C76" w:rsidRDefault="00986C76" w:rsidP="003E22C5">
      <w:pPr>
        <w:tabs>
          <w:tab w:val="left" w:pos="3483"/>
        </w:tabs>
        <w:rPr>
          <w:b/>
        </w:rPr>
      </w:pPr>
      <w:r w:rsidRPr="00986C76">
        <w:rPr>
          <w:b/>
        </w:rPr>
        <w:t xml:space="preserve">Conversion timetable </w:t>
      </w:r>
    </w:p>
    <w:p w:rsidR="00986C76" w:rsidRDefault="004F1400" w:rsidP="003E22C5">
      <w:pPr>
        <w:tabs>
          <w:tab w:val="left" w:pos="3483"/>
        </w:tabs>
      </w:pPr>
      <w:r>
        <w:lastRenderedPageBreak/>
        <w:t xml:space="preserve">The following groupings of children and young people will have their transfer review </w:t>
      </w:r>
      <w:r w:rsidR="00917853">
        <w:t>according to the following timetable</w:t>
      </w:r>
      <w:r w:rsidR="005568C3">
        <w:t xml:space="preserve"> (approx</w:t>
      </w:r>
      <w:r w:rsidR="004B5A78">
        <w:t>imate</w:t>
      </w:r>
      <w:r w:rsidR="005568C3">
        <w:t xml:space="preserve"> numbers are indicated in brackets)</w:t>
      </w:r>
      <w:r w:rsidR="00917853">
        <w:t>:</w:t>
      </w:r>
      <w:r>
        <w:t xml:space="preserve"> </w:t>
      </w:r>
    </w:p>
    <w:p w:rsidR="005C0B9D" w:rsidRDefault="005C0B9D" w:rsidP="003E22C5">
      <w:pPr>
        <w:tabs>
          <w:tab w:val="left" w:pos="3483"/>
        </w:tabs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9056"/>
      </w:tblGrid>
      <w:tr w:rsidR="00986C76" w:rsidTr="0064796B">
        <w:tc>
          <w:tcPr>
            <w:tcW w:w="9606" w:type="dxa"/>
            <w:gridSpan w:val="2"/>
          </w:tcPr>
          <w:p w:rsidR="00986C76" w:rsidRPr="00917853" w:rsidRDefault="00986C76" w:rsidP="003E22C5">
            <w:pPr>
              <w:tabs>
                <w:tab w:val="left" w:pos="3483"/>
              </w:tabs>
              <w:spacing w:line="276" w:lineRule="auto"/>
              <w:rPr>
                <w:b/>
              </w:rPr>
            </w:pPr>
            <w:r w:rsidRPr="00917853">
              <w:rPr>
                <w:b/>
              </w:rPr>
              <w:t>By 31</w:t>
            </w:r>
            <w:r w:rsidRPr="00917853">
              <w:rPr>
                <w:b/>
                <w:vertAlign w:val="superscript"/>
              </w:rPr>
              <w:t>st</w:t>
            </w:r>
            <w:r w:rsidRPr="00917853">
              <w:rPr>
                <w:b/>
              </w:rPr>
              <w:t xml:space="preserve"> May 2015</w:t>
            </w:r>
          </w:p>
        </w:tc>
      </w:tr>
      <w:tr w:rsidR="003B6FEE" w:rsidTr="0064796B">
        <w:tc>
          <w:tcPr>
            <w:tcW w:w="9606" w:type="dxa"/>
            <w:gridSpan w:val="2"/>
          </w:tcPr>
          <w:p w:rsidR="003B6FEE" w:rsidRDefault="003B6FEE" w:rsidP="003E22C5">
            <w:pPr>
              <w:tabs>
                <w:tab w:val="left" w:pos="3483"/>
              </w:tabs>
              <w:spacing w:line="276" w:lineRule="auto"/>
            </w:pPr>
          </w:p>
        </w:tc>
      </w:tr>
      <w:tr w:rsidR="005568C3" w:rsidTr="00490811">
        <w:tc>
          <w:tcPr>
            <w:tcW w:w="550" w:type="dxa"/>
          </w:tcPr>
          <w:p w:rsidR="005568C3" w:rsidRDefault="005568C3" w:rsidP="003E22C5">
            <w:pPr>
              <w:tabs>
                <w:tab w:val="left" w:pos="3483"/>
              </w:tabs>
              <w:spacing w:line="276" w:lineRule="auto"/>
            </w:pPr>
            <w:r>
              <w:t>1.</w:t>
            </w:r>
          </w:p>
        </w:tc>
        <w:tc>
          <w:tcPr>
            <w:tcW w:w="9056" w:type="dxa"/>
          </w:tcPr>
          <w:p w:rsidR="00B00D8D" w:rsidRPr="00C47A76" w:rsidRDefault="005568C3" w:rsidP="003E22C5">
            <w:pPr>
              <w:tabs>
                <w:tab w:val="left" w:pos="3483"/>
              </w:tabs>
              <w:spacing w:line="276" w:lineRule="auto"/>
            </w:pPr>
            <w:r>
              <w:t xml:space="preserve">Young people leaving school </w:t>
            </w:r>
            <w:r w:rsidR="0086215F">
              <w:t xml:space="preserve">during 2014/15 </w:t>
            </w:r>
            <w:r>
              <w:t>to go into Further Education from mainstream, special and independent special schools (</w:t>
            </w:r>
            <w:r w:rsidR="00D43279">
              <w:t>1</w:t>
            </w:r>
            <w:r w:rsidR="00B00D8D">
              <w:t>00</w:t>
            </w:r>
            <w:r>
              <w:t>)</w:t>
            </w:r>
            <w:r w:rsidR="0086215F">
              <w:t>.</w:t>
            </w:r>
            <w:r w:rsidR="00B00D8D">
              <w:t xml:space="preserve"> </w:t>
            </w:r>
          </w:p>
        </w:tc>
      </w:tr>
      <w:tr w:rsidR="003B6FEE" w:rsidTr="0064796B">
        <w:tc>
          <w:tcPr>
            <w:tcW w:w="9606" w:type="dxa"/>
            <w:gridSpan w:val="2"/>
          </w:tcPr>
          <w:p w:rsidR="003B6FEE" w:rsidRDefault="003B6FEE" w:rsidP="003E22C5">
            <w:pPr>
              <w:tabs>
                <w:tab w:val="left" w:pos="3483"/>
              </w:tabs>
              <w:spacing w:line="276" w:lineRule="auto"/>
            </w:pPr>
          </w:p>
        </w:tc>
      </w:tr>
      <w:tr w:rsidR="003B6FEE" w:rsidTr="0064796B">
        <w:tc>
          <w:tcPr>
            <w:tcW w:w="9606" w:type="dxa"/>
            <w:gridSpan w:val="2"/>
          </w:tcPr>
          <w:p w:rsidR="003B6FEE" w:rsidRPr="00917853" w:rsidRDefault="003B6FEE" w:rsidP="003E22C5">
            <w:pPr>
              <w:tabs>
                <w:tab w:val="left" w:pos="3483"/>
              </w:tabs>
              <w:spacing w:line="276" w:lineRule="auto"/>
              <w:rPr>
                <w:b/>
              </w:rPr>
            </w:pPr>
            <w:r w:rsidRPr="00917853">
              <w:rPr>
                <w:b/>
              </w:rPr>
              <w:t xml:space="preserve">By </w:t>
            </w:r>
            <w:r w:rsidR="00946C47" w:rsidRPr="00917853">
              <w:rPr>
                <w:b/>
              </w:rPr>
              <w:t>August 31</w:t>
            </w:r>
            <w:r w:rsidR="00946C47" w:rsidRPr="00917853">
              <w:rPr>
                <w:b/>
                <w:vertAlign w:val="superscript"/>
              </w:rPr>
              <w:t>st</w:t>
            </w:r>
            <w:r w:rsidR="00946C47" w:rsidRPr="00917853">
              <w:rPr>
                <w:b/>
              </w:rPr>
              <w:t xml:space="preserve"> </w:t>
            </w:r>
            <w:r w:rsidRPr="00917853">
              <w:rPr>
                <w:b/>
              </w:rPr>
              <w:t>2015</w:t>
            </w:r>
          </w:p>
        </w:tc>
      </w:tr>
      <w:tr w:rsidR="003B6FEE" w:rsidTr="0064796B">
        <w:tc>
          <w:tcPr>
            <w:tcW w:w="9606" w:type="dxa"/>
            <w:gridSpan w:val="2"/>
          </w:tcPr>
          <w:p w:rsidR="003B6FEE" w:rsidRDefault="003B6FEE" w:rsidP="003E22C5">
            <w:pPr>
              <w:tabs>
                <w:tab w:val="left" w:pos="3483"/>
              </w:tabs>
              <w:spacing w:line="276" w:lineRule="auto"/>
            </w:pPr>
          </w:p>
        </w:tc>
      </w:tr>
      <w:tr w:rsidR="005568C3" w:rsidTr="00490811">
        <w:tc>
          <w:tcPr>
            <w:tcW w:w="550" w:type="dxa"/>
          </w:tcPr>
          <w:p w:rsidR="005568C3" w:rsidRDefault="005568C3" w:rsidP="003E22C5">
            <w:pPr>
              <w:tabs>
                <w:tab w:val="left" w:pos="3483"/>
              </w:tabs>
              <w:spacing w:line="276" w:lineRule="auto"/>
            </w:pPr>
            <w:r>
              <w:t>2.</w:t>
            </w:r>
          </w:p>
        </w:tc>
        <w:tc>
          <w:tcPr>
            <w:tcW w:w="9056" w:type="dxa"/>
          </w:tcPr>
          <w:p w:rsidR="00B00D8D" w:rsidRDefault="005568C3" w:rsidP="003E22C5">
            <w:pPr>
              <w:tabs>
                <w:tab w:val="left" w:pos="3483"/>
              </w:tabs>
              <w:spacing w:line="276" w:lineRule="auto"/>
            </w:pPr>
            <w:r>
              <w:t xml:space="preserve">Children and young people with non-statutory EHC plans, </w:t>
            </w:r>
            <w:proofErr w:type="spellStart"/>
            <w:r>
              <w:t>ie</w:t>
            </w:r>
            <w:proofErr w:type="spellEnd"/>
            <w:r>
              <w:t>, EHC Plans that were issued before September 1</w:t>
            </w:r>
            <w:r w:rsidRPr="003B6FEE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 w:rsidRPr="00CB1526">
              <w:t>2014</w:t>
            </w:r>
            <w:r>
              <w:t xml:space="preserve"> (2</w:t>
            </w:r>
            <w:r w:rsidR="00320584">
              <w:t>2</w:t>
            </w:r>
            <w:r>
              <w:t>0)</w:t>
            </w:r>
            <w:r w:rsidR="0086215F">
              <w:t>.</w:t>
            </w:r>
          </w:p>
          <w:p w:rsidR="00490811" w:rsidRPr="00C47A76" w:rsidRDefault="00490811" w:rsidP="003E22C5">
            <w:pPr>
              <w:tabs>
                <w:tab w:val="left" w:pos="3483"/>
              </w:tabs>
              <w:spacing w:line="276" w:lineRule="auto"/>
            </w:pPr>
          </w:p>
        </w:tc>
      </w:tr>
      <w:tr w:rsidR="00490811" w:rsidTr="00490811">
        <w:tc>
          <w:tcPr>
            <w:tcW w:w="550" w:type="dxa"/>
          </w:tcPr>
          <w:p w:rsidR="00490811" w:rsidRDefault="00490811" w:rsidP="003E22C5">
            <w:pPr>
              <w:tabs>
                <w:tab w:val="left" w:pos="3483"/>
              </w:tabs>
            </w:pPr>
            <w:r>
              <w:t>3.</w:t>
            </w:r>
          </w:p>
        </w:tc>
        <w:tc>
          <w:tcPr>
            <w:tcW w:w="9056" w:type="dxa"/>
          </w:tcPr>
          <w:p w:rsidR="00490811" w:rsidRDefault="00490811" w:rsidP="003E22C5">
            <w:pPr>
              <w:tabs>
                <w:tab w:val="left" w:pos="3483"/>
              </w:tabs>
            </w:pPr>
            <w:r>
              <w:t>Children and young people with a statement who receive a direct payment from Leicester City’s Disabled Children’s Service (60).</w:t>
            </w:r>
          </w:p>
        </w:tc>
      </w:tr>
      <w:tr w:rsidR="005568C3" w:rsidTr="0064796B">
        <w:tc>
          <w:tcPr>
            <w:tcW w:w="9606" w:type="dxa"/>
            <w:gridSpan w:val="2"/>
          </w:tcPr>
          <w:p w:rsidR="005568C3" w:rsidRDefault="005568C3" w:rsidP="003E22C5">
            <w:pPr>
              <w:tabs>
                <w:tab w:val="left" w:pos="3483"/>
              </w:tabs>
              <w:spacing w:line="276" w:lineRule="auto"/>
            </w:pPr>
          </w:p>
        </w:tc>
      </w:tr>
      <w:tr w:rsidR="00B21D72" w:rsidTr="0064796B">
        <w:tc>
          <w:tcPr>
            <w:tcW w:w="9606" w:type="dxa"/>
            <w:gridSpan w:val="2"/>
          </w:tcPr>
          <w:p w:rsidR="00B21D72" w:rsidRPr="00917853" w:rsidRDefault="00B21D72" w:rsidP="003E22C5">
            <w:pPr>
              <w:tabs>
                <w:tab w:val="left" w:pos="3483"/>
              </w:tabs>
              <w:spacing w:line="276" w:lineRule="auto"/>
              <w:rPr>
                <w:b/>
              </w:rPr>
            </w:pPr>
            <w:r w:rsidRPr="00917853">
              <w:rPr>
                <w:b/>
              </w:rPr>
              <w:t xml:space="preserve">By </w:t>
            </w:r>
            <w:r w:rsidR="00806C31" w:rsidRPr="00917853">
              <w:rPr>
                <w:b/>
              </w:rPr>
              <w:t>August 31</w:t>
            </w:r>
            <w:r w:rsidR="00806C31" w:rsidRPr="00917853">
              <w:rPr>
                <w:b/>
                <w:vertAlign w:val="superscript"/>
              </w:rPr>
              <w:t>st</w:t>
            </w:r>
            <w:r w:rsidR="00806C31" w:rsidRPr="00917853">
              <w:rPr>
                <w:b/>
              </w:rPr>
              <w:t xml:space="preserve"> 2016</w:t>
            </w:r>
          </w:p>
        </w:tc>
      </w:tr>
      <w:tr w:rsidR="00806C31" w:rsidTr="0064796B">
        <w:tc>
          <w:tcPr>
            <w:tcW w:w="9606" w:type="dxa"/>
            <w:gridSpan w:val="2"/>
          </w:tcPr>
          <w:p w:rsidR="00806C31" w:rsidRDefault="00806C31" w:rsidP="003E22C5">
            <w:pPr>
              <w:tabs>
                <w:tab w:val="left" w:pos="3483"/>
              </w:tabs>
              <w:spacing w:line="276" w:lineRule="auto"/>
            </w:pPr>
          </w:p>
        </w:tc>
      </w:tr>
      <w:tr w:rsidR="005568C3" w:rsidTr="00490811">
        <w:tc>
          <w:tcPr>
            <w:tcW w:w="550" w:type="dxa"/>
          </w:tcPr>
          <w:p w:rsidR="005568C3" w:rsidRDefault="00490811" w:rsidP="00490811">
            <w:pPr>
              <w:tabs>
                <w:tab w:val="left" w:pos="3483"/>
              </w:tabs>
              <w:spacing w:line="276" w:lineRule="auto"/>
            </w:pPr>
            <w:r>
              <w:t>4</w:t>
            </w:r>
            <w:r w:rsidR="005568C3">
              <w:t>.</w:t>
            </w:r>
          </w:p>
        </w:tc>
        <w:tc>
          <w:tcPr>
            <w:tcW w:w="9056" w:type="dxa"/>
          </w:tcPr>
          <w:p w:rsidR="005568C3" w:rsidRDefault="005568C3" w:rsidP="003E22C5">
            <w:pPr>
              <w:tabs>
                <w:tab w:val="left" w:pos="3483"/>
              </w:tabs>
              <w:spacing w:line="276" w:lineRule="auto"/>
            </w:pPr>
            <w:r>
              <w:t xml:space="preserve">Young people in </w:t>
            </w:r>
            <w:r w:rsidR="00D43279">
              <w:t>f</w:t>
            </w:r>
            <w:r>
              <w:t xml:space="preserve">urther </w:t>
            </w:r>
            <w:r w:rsidR="00D43279">
              <w:t>e</w:t>
            </w:r>
            <w:r>
              <w:t>ducation</w:t>
            </w:r>
            <w:r w:rsidR="00D43279">
              <w:t xml:space="preserve">/ training (or not in education, employment or training below the age of 18) </w:t>
            </w:r>
            <w:r>
              <w:t>with an LDA who request and need this level of support and who are remaining in FE beyond this date</w:t>
            </w:r>
            <w:r w:rsidR="0086215F">
              <w:t xml:space="preserve"> (</w:t>
            </w:r>
            <w:r w:rsidR="00D43279">
              <w:t>300</w:t>
            </w:r>
            <w:r w:rsidR="0086215F">
              <w:t>).</w:t>
            </w:r>
          </w:p>
          <w:p w:rsidR="00B00D8D" w:rsidRDefault="00B00D8D" w:rsidP="003E22C5">
            <w:pPr>
              <w:tabs>
                <w:tab w:val="left" w:pos="3483"/>
              </w:tabs>
              <w:spacing w:line="276" w:lineRule="auto"/>
            </w:pPr>
          </w:p>
        </w:tc>
      </w:tr>
      <w:tr w:rsidR="0086215F" w:rsidTr="00490811">
        <w:tc>
          <w:tcPr>
            <w:tcW w:w="550" w:type="dxa"/>
          </w:tcPr>
          <w:p w:rsidR="0086215F" w:rsidRDefault="00490811" w:rsidP="00490811">
            <w:pPr>
              <w:tabs>
                <w:tab w:val="left" w:pos="3483"/>
              </w:tabs>
              <w:spacing w:line="276" w:lineRule="auto"/>
            </w:pPr>
            <w:r>
              <w:t>5</w:t>
            </w:r>
            <w:r w:rsidR="0086215F">
              <w:t>.</w:t>
            </w:r>
          </w:p>
        </w:tc>
        <w:tc>
          <w:tcPr>
            <w:tcW w:w="9056" w:type="dxa"/>
          </w:tcPr>
          <w:p w:rsidR="0086215F" w:rsidRDefault="0086215F" w:rsidP="003E22C5">
            <w:pPr>
              <w:tabs>
                <w:tab w:val="left" w:pos="3483"/>
              </w:tabs>
              <w:spacing w:line="276" w:lineRule="auto"/>
            </w:pPr>
            <w:r>
              <w:t>Children and young people moving from an Early Years setting to school or moving between schools (</w:t>
            </w:r>
            <w:r w:rsidR="00320584">
              <w:t>124</w:t>
            </w:r>
            <w:r>
              <w:t>)</w:t>
            </w:r>
          </w:p>
          <w:p w:rsidR="00B00D8D" w:rsidRPr="00E53C8C" w:rsidRDefault="00B00D8D" w:rsidP="00930C6D">
            <w:pPr>
              <w:tabs>
                <w:tab w:val="left" w:pos="3483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86215F" w:rsidTr="00490811">
        <w:tc>
          <w:tcPr>
            <w:tcW w:w="550" w:type="dxa"/>
          </w:tcPr>
          <w:p w:rsidR="0086215F" w:rsidRDefault="00490811" w:rsidP="00490811">
            <w:pPr>
              <w:tabs>
                <w:tab w:val="left" w:pos="3483"/>
              </w:tabs>
              <w:spacing w:line="276" w:lineRule="auto"/>
            </w:pPr>
            <w:r>
              <w:t>6</w:t>
            </w:r>
            <w:r w:rsidR="0086215F">
              <w:t>.</w:t>
            </w:r>
          </w:p>
        </w:tc>
        <w:tc>
          <w:tcPr>
            <w:tcW w:w="9056" w:type="dxa"/>
          </w:tcPr>
          <w:p w:rsidR="00E53C8C" w:rsidRPr="00C47A76" w:rsidRDefault="0086215F" w:rsidP="003E22C5">
            <w:pPr>
              <w:tabs>
                <w:tab w:val="left" w:pos="3483"/>
              </w:tabs>
              <w:spacing w:line="276" w:lineRule="auto"/>
            </w:pPr>
            <w:r>
              <w:t>Young people in Year 9 (1</w:t>
            </w:r>
            <w:r w:rsidR="00320584">
              <w:t>03</w:t>
            </w:r>
            <w:r>
              <w:t>)</w:t>
            </w:r>
          </w:p>
        </w:tc>
      </w:tr>
      <w:tr w:rsidR="0086215F" w:rsidTr="0064796B">
        <w:tc>
          <w:tcPr>
            <w:tcW w:w="9606" w:type="dxa"/>
            <w:gridSpan w:val="2"/>
          </w:tcPr>
          <w:p w:rsidR="0086215F" w:rsidRDefault="0086215F" w:rsidP="003E22C5">
            <w:pPr>
              <w:tabs>
                <w:tab w:val="left" w:pos="3483"/>
              </w:tabs>
              <w:spacing w:line="276" w:lineRule="auto"/>
            </w:pPr>
          </w:p>
        </w:tc>
      </w:tr>
      <w:tr w:rsidR="00DE2AF6" w:rsidTr="0064796B">
        <w:tc>
          <w:tcPr>
            <w:tcW w:w="9606" w:type="dxa"/>
            <w:gridSpan w:val="2"/>
          </w:tcPr>
          <w:p w:rsidR="00DE2AF6" w:rsidRPr="00917853" w:rsidRDefault="00DE2AF6" w:rsidP="003E22C5">
            <w:pPr>
              <w:tabs>
                <w:tab w:val="left" w:pos="3483"/>
              </w:tabs>
              <w:spacing w:line="276" w:lineRule="auto"/>
              <w:rPr>
                <w:b/>
              </w:rPr>
            </w:pPr>
            <w:r w:rsidRPr="00917853">
              <w:rPr>
                <w:b/>
              </w:rPr>
              <w:t>By April 1</w:t>
            </w:r>
            <w:r w:rsidRPr="00917853">
              <w:rPr>
                <w:b/>
                <w:vertAlign w:val="superscript"/>
              </w:rPr>
              <w:t>st</w:t>
            </w:r>
            <w:r w:rsidRPr="00917853">
              <w:rPr>
                <w:b/>
              </w:rPr>
              <w:t xml:space="preserve"> 2018</w:t>
            </w:r>
          </w:p>
        </w:tc>
      </w:tr>
      <w:tr w:rsidR="0086215F" w:rsidTr="0064796B">
        <w:tc>
          <w:tcPr>
            <w:tcW w:w="9606" w:type="dxa"/>
            <w:gridSpan w:val="2"/>
          </w:tcPr>
          <w:p w:rsidR="0086215F" w:rsidRDefault="0086215F" w:rsidP="003E22C5">
            <w:pPr>
              <w:tabs>
                <w:tab w:val="left" w:pos="3483"/>
              </w:tabs>
              <w:spacing w:line="276" w:lineRule="auto"/>
            </w:pPr>
          </w:p>
        </w:tc>
      </w:tr>
      <w:tr w:rsidR="0086215F" w:rsidTr="00490811">
        <w:tc>
          <w:tcPr>
            <w:tcW w:w="550" w:type="dxa"/>
          </w:tcPr>
          <w:p w:rsidR="0086215F" w:rsidRDefault="00490811" w:rsidP="00490811">
            <w:pPr>
              <w:tabs>
                <w:tab w:val="left" w:pos="3483"/>
              </w:tabs>
              <w:spacing w:line="276" w:lineRule="auto"/>
            </w:pPr>
            <w:r>
              <w:t>7</w:t>
            </w:r>
            <w:r w:rsidR="0086215F">
              <w:t>.</w:t>
            </w:r>
          </w:p>
        </w:tc>
        <w:tc>
          <w:tcPr>
            <w:tcW w:w="9056" w:type="dxa"/>
          </w:tcPr>
          <w:p w:rsidR="0086215F" w:rsidRDefault="0086215F" w:rsidP="003E22C5">
            <w:pPr>
              <w:tabs>
                <w:tab w:val="left" w:pos="3483"/>
              </w:tabs>
              <w:spacing w:line="276" w:lineRule="auto"/>
              <w:rPr>
                <w:color w:val="FF0000"/>
                <w:sz w:val="20"/>
                <w:szCs w:val="20"/>
              </w:rPr>
            </w:pPr>
            <w:r>
              <w:t>Young people in Year 11 and a</w:t>
            </w:r>
            <w:r w:rsidR="00930C6D">
              <w:t>bove who are not leaving school</w:t>
            </w:r>
            <w:r>
              <w:t xml:space="preserve"> (</w:t>
            </w:r>
            <w:r w:rsidR="00320584">
              <w:t>210</w:t>
            </w:r>
            <w:r>
              <w:t>)</w:t>
            </w:r>
            <w:r w:rsidR="00E53C8C" w:rsidRPr="00E53C8C">
              <w:rPr>
                <w:color w:val="FF0000"/>
                <w:sz w:val="20"/>
                <w:szCs w:val="20"/>
              </w:rPr>
              <w:t xml:space="preserve"> </w:t>
            </w:r>
          </w:p>
          <w:p w:rsidR="004B5A78" w:rsidRPr="004B5A78" w:rsidRDefault="004B5A78" w:rsidP="003E22C5">
            <w:pPr>
              <w:tabs>
                <w:tab w:val="left" w:pos="3483"/>
              </w:tabs>
              <w:spacing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86215F" w:rsidTr="00490811">
        <w:tc>
          <w:tcPr>
            <w:tcW w:w="550" w:type="dxa"/>
          </w:tcPr>
          <w:p w:rsidR="0086215F" w:rsidRDefault="00490811" w:rsidP="00490811">
            <w:pPr>
              <w:tabs>
                <w:tab w:val="left" w:pos="3483"/>
              </w:tabs>
              <w:spacing w:line="276" w:lineRule="auto"/>
            </w:pPr>
            <w:r>
              <w:t>8</w:t>
            </w:r>
            <w:r w:rsidR="0086215F">
              <w:t>.</w:t>
            </w:r>
          </w:p>
        </w:tc>
        <w:tc>
          <w:tcPr>
            <w:tcW w:w="9056" w:type="dxa"/>
          </w:tcPr>
          <w:p w:rsidR="0086215F" w:rsidRDefault="0086215F" w:rsidP="003E22C5">
            <w:pPr>
              <w:tabs>
                <w:tab w:val="left" w:pos="3483"/>
              </w:tabs>
              <w:spacing w:line="276" w:lineRule="auto"/>
            </w:pPr>
            <w:r>
              <w:t>Children and young people leaving/joining the LA</w:t>
            </w:r>
            <w:r w:rsidR="00E53C8C">
              <w:t xml:space="preserve"> (unknown)</w:t>
            </w:r>
          </w:p>
          <w:p w:rsidR="004B5A78" w:rsidRDefault="004B5A78" w:rsidP="003E22C5">
            <w:pPr>
              <w:tabs>
                <w:tab w:val="left" w:pos="3483"/>
              </w:tabs>
              <w:spacing w:line="276" w:lineRule="auto"/>
            </w:pPr>
          </w:p>
        </w:tc>
      </w:tr>
      <w:tr w:rsidR="0086215F" w:rsidTr="00490811">
        <w:tc>
          <w:tcPr>
            <w:tcW w:w="550" w:type="dxa"/>
          </w:tcPr>
          <w:p w:rsidR="0086215F" w:rsidRDefault="00490811" w:rsidP="00490811">
            <w:pPr>
              <w:tabs>
                <w:tab w:val="left" w:pos="3483"/>
              </w:tabs>
              <w:spacing w:line="276" w:lineRule="auto"/>
            </w:pPr>
            <w:r>
              <w:t>9</w:t>
            </w:r>
            <w:r w:rsidR="0086215F">
              <w:t>.</w:t>
            </w:r>
          </w:p>
        </w:tc>
        <w:tc>
          <w:tcPr>
            <w:tcW w:w="9056" w:type="dxa"/>
          </w:tcPr>
          <w:p w:rsidR="0086215F" w:rsidRDefault="0086215F" w:rsidP="003E22C5">
            <w:pPr>
              <w:tabs>
                <w:tab w:val="left" w:pos="3483"/>
              </w:tabs>
              <w:spacing w:line="276" w:lineRule="auto"/>
            </w:pPr>
            <w:r>
              <w:t>Young People leaving custody (6)</w:t>
            </w:r>
          </w:p>
          <w:p w:rsidR="004B5A78" w:rsidRDefault="004B5A78" w:rsidP="003E22C5">
            <w:pPr>
              <w:tabs>
                <w:tab w:val="left" w:pos="3483"/>
              </w:tabs>
              <w:spacing w:line="276" w:lineRule="auto"/>
            </w:pPr>
          </w:p>
        </w:tc>
      </w:tr>
      <w:tr w:rsidR="0086215F" w:rsidTr="00490811">
        <w:tc>
          <w:tcPr>
            <w:tcW w:w="550" w:type="dxa"/>
          </w:tcPr>
          <w:p w:rsidR="0086215F" w:rsidRDefault="00490811" w:rsidP="00490811">
            <w:pPr>
              <w:tabs>
                <w:tab w:val="left" w:pos="3483"/>
              </w:tabs>
              <w:spacing w:line="276" w:lineRule="auto"/>
            </w:pPr>
            <w:r>
              <w:t>10</w:t>
            </w:r>
            <w:r w:rsidR="0086215F">
              <w:t>.</w:t>
            </w:r>
          </w:p>
        </w:tc>
        <w:tc>
          <w:tcPr>
            <w:tcW w:w="9056" w:type="dxa"/>
          </w:tcPr>
          <w:p w:rsidR="00E53C8C" w:rsidRPr="004B5A78" w:rsidRDefault="0086215F" w:rsidP="003B708A">
            <w:pPr>
              <w:tabs>
                <w:tab w:val="left" w:pos="3483"/>
              </w:tabs>
              <w:spacing w:line="276" w:lineRule="auto"/>
            </w:pPr>
            <w:r>
              <w:t>All ot</w:t>
            </w:r>
            <w:r w:rsidR="00320584">
              <w:t>her children and young people (</w:t>
            </w:r>
            <w:r w:rsidR="003B708A">
              <w:t>590</w:t>
            </w:r>
            <w:r>
              <w:t>)</w:t>
            </w:r>
          </w:p>
        </w:tc>
      </w:tr>
      <w:tr w:rsidR="0086215F" w:rsidTr="0064796B">
        <w:tc>
          <w:tcPr>
            <w:tcW w:w="9606" w:type="dxa"/>
            <w:gridSpan w:val="2"/>
          </w:tcPr>
          <w:p w:rsidR="0086215F" w:rsidRDefault="0086215F" w:rsidP="003E22C5">
            <w:pPr>
              <w:tabs>
                <w:tab w:val="left" w:pos="3483"/>
              </w:tabs>
              <w:spacing w:line="276" w:lineRule="auto"/>
            </w:pPr>
          </w:p>
        </w:tc>
      </w:tr>
    </w:tbl>
    <w:p w:rsidR="0064796B" w:rsidRDefault="0064796B" w:rsidP="003E22C5">
      <w:pPr>
        <w:tabs>
          <w:tab w:val="left" w:pos="3483"/>
        </w:tabs>
      </w:pPr>
      <w:r>
        <w:t xml:space="preserve">This conversion timetable </w:t>
      </w:r>
      <w:r w:rsidR="00536877">
        <w:t>lays out the dates by which transfer reviews must be held according to statutory guidance from the Department for Education. Where parents</w:t>
      </w:r>
      <w:r w:rsidR="00461257">
        <w:t>/carers</w:t>
      </w:r>
      <w:r w:rsidR="00536877">
        <w:t xml:space="preserve"> or </w:t>
      </w:r>
      <w:r w:rsidR="00461257">
        <w:t xml:space="preserve">the </w:t>
      </w:r>
      <w:r w:rsidR="00536877">
        <w:t>young person request that a transfer review is held at an earlier date, this will be accommodated where ever possible.</w:t>
      </w:r>
    </w:p>
    <w:p w:rsidR="00613F36" w:rsidRPr="00481D63" w:rsidRDefault="00613F36" w:rsidP="003E22C5">
      <w:pPr>
        <w:tabs>
          <w:tab w:val="left" w:pos="3483"/>
        </w:tabs>
      </w:pPr>
      <w:r w:rsidRPr="00481D63">
        <w:lastRenderedPageBreak/>
        <w:t xml:space="preserve">Young people with a statement </w:t>
      </w:r>
      <w:r>
        <w:t xml:space="preserve">or LDA </w:t>
      </w:r>
      <w:r w:rsidRPr="00481D63">
        <w:t xml:space="preserve">who are 18 years old </w:t>
      </w:r>
      <w:r>
        <w:t xml:space="preserve">and above </w:t>
      </w:r>
      <w:r w:rsidRPr="00481D63">
        <w:t xml:space="preserve">will </w:t>
      </w:r>
      <w:r w:rsidRPr="00613F36">
        <w:t>not</w:t>
      </w:r>
      <w:r w:rsidRPr="00481D63">
        <w:t xml:space="preserve"> require an EHC plan where they are leaving school </w:t>
      </w:r>
      <w:r>
        <w:t xml:space="preserve">or further education </w:t>
      </w:r>
      <w:r w:rsidRPr="00481D63">
        <w:t>and</w:t>
      </w:r>
      <w:r>
        <w:t xml:space="preserve"> </w:t>
      </w:r>
      <w:r w:rsidR="00C47A76">
        <w:t xml:space="preserve">training and </w:t>
      </w:r>
      <w:r>
        <w:t>are</w:t>
      </w:r>
      <w:r w:rsidRPr="00481D63">
        <w:t>:</w:t>
      </w:r>
    </w:p>
    <w:p w:rsidR="00613F36" w:rsidRPr="00481D63" w:rsidRDefault="00613F36" w:rsidP="003E22C5">
      <w:pPr>
        <w:numPr>
          <w:ilvl w:val="0"/>
          <w:numId w:val="1"/>
        </w:numPr>
        <w:tabs>
          <w:tab w:val="left" w:pos="3483"/>
        </w:tabs>
        <w:contextualSpacing/>
      </w:pPr>
      <w:r w:rsidRPr="00481D63">
        <w:t>not continuing with education or training</w:t>
      </w:r>
    </w:p>
    <w:p w:rsidR="000D0077" w:rsidRDefault="00613F36" w:rsidP="003E22C5">
      <w:pPr>
        <w:numPr>
          <w:ilvl w:val="0"/>
          <w:numId w:val="1"/>
        </w:numPr>
        <w:tabs>
          <w:tab w:val="left" w:pos="3483"/>
        </w:tabs>
        <w:contextualSpacing/>
      </w:pPr>
      <w:r w:rsidRPr="00481D63">
        <w:t>going into paid employment</w:t>
      </w:r>
      <w:r w:rsidR="000D0077">
        <w:t xml:space="preserve"> (but </w:t>
      </w:r>
      <w:r w:rsidR="000D0077" w:rsidRPr="000D0077">
        <w:t>excluding apprenticeship</w:t>
      </w:r>
      <w:r w:rsidR="000D0077">
        <w:t>s</w:t>
      </w:r>
      <w:r w:rsidR="000D0077" w:rsidRPr="000D0077">
        <w:t>, traineeship</w:t>
      </w:r>
      <w:r w:rsidR="000D0077">
        <w:t>s</w:t>
      </w:r>
      <w:r w:rsidR="000D0077" w:rsidRPr="000D0077">
        <w:t xml:space="preserve"> or supported internship</w:t>
      </w:r>
      <w:r w:rsidR="000D0077">
        <w:t>s)</w:t>
      </w:r>
    </w:p>
    <w:p w:rsidR="00613F36" w:rsidRDefault="00613F36" w:rsidP="003E22C5">
      <w:pPr>
        <w:numPr>
          <w:ilvl w:val="0"/>
          <w:numId w:val="1"/>
        </w:numPr>
        <w:tabs>
          <w:tab w:val="left" w:pos="3483"/>
        </w:tabs>
        <w:contextualSpacing/>
      </w:pPr>
      <w:r w:rsidRPr="00481D63">
        <w:t>going to university</w:t>
      </w:r>
    </w:p>
    <w:p w:rsidR="00613F36" w:rsidRPr="00481D63" w:rsidRDefault="00613F36" w:rsidP="003E22C5">
      <w:pPr>
        <w:tabs>
          <w:tab w:val="left" w:pos="3483"/>
        </w:tabs>
        <w:ind w:left="720"/>
        <w:contextualSpacing/>
      </w:pPr>
    </w:p>
    <w:p w:rsidR="00613F36" w:rsidRDefault="00613F36" w:rsidP="003E22C5">
      <w:pPr>
        <w:tabs>
          <w:tab w:val="left" w:pos="3483"/>
        </w:tabs>
      </w:pPr>
      <w:r w:rsidRPr="00481D63">
        <w:t xml:space="preserve">Where this is the case, the young person’s statement </w:t>
      </w:r>
      <w:r>
        <w:t xml:space="preserve">or LDA </w:t>
      </w:r>
      <w:r w:rsidRPr="00481D63">
        <w:t xml:space="preserve">will lapse at the end of </w:t>
      </w:r>
      <w:r>
        <w:t>their final year in school or college/setting.</w:t>
      </w:r>
    </w:p>
    <w:p w:rsidR="00536877" w:rsidRPr="00536877" w:rsidRDefault="0064796B" w:rsidP="003E22C5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</w:rPr>
      </w:pPr>
      <w:r w:rsidRPr="00536877">
        <w:rPr>
          <w:rFonts w:ascii="Calibri-Bold" w:hAnsi="Calibri-Bold" w:cs="Calibri-Bold"/>
          <w:b/>
          <w:bCs/>
        </w:rPr>
        <w:t>Informing</w:t>
      </w:r>
      <w:r w:rsidR="00536877" w:rsidRPr="00536877">
        <w:rPr>
          <w:rFonts w:ascii="Calibri-Bold" w:hAnsi="Calibri-Bold" w:cs="Calibri-Bold"/>
          <w:b/>
          <w:bCs/>
        </w:rPr>
        <w:t xml:space="preserve"> </w:t>
      </w:r>
      <w:r w:rsidRPr="00536877">
        <w:rPr>
          <w:rFonts w:ascii="Calibri-Bold" w:hAnsi="Calibri-Bold" w:cs="Calibri-Bold"/>
          <w:b/>
          <w:bCs/>
        </w:rPr>
        <w:t>parents</w:t>
      </w:r>
      <w:r w:rsidR="00461257">
        <w:rPr>
          <w:rFonts w:ascii="Calibri-Bold" w:hAnsi="Calibri-Bold" w:cs="Calibri-Bold"/>
          <w:b/>
          <w:bCs/>
        </w:rPr>
        <w:t>/carers</w:t>
      </w:r>
      <w:r w:rsidR="00536877" w:rsidRPr="00536877">
        <w:rPr>
          <w:rFonts w:ascii="Calibri-Bold" w:hAnsi="Calibri-Bold" w:cs="Calibri-Bold"/>
          <w:b/>
          <w:bCs/>
        </w:rPr>
        <w:t xml:space="preserve"> </w:t>
      </w:r>
      <w:r w:rsidRPr="00536877">
        <w:rPr>
          <w:rFonts w:ascii="Calibri-Bold" w:hAnsi="Calibri-Bold" w:cs="Calibri-Bold"/>
          <w:b/>
          <w:bCs/>
        </w:rPr>
        <w:t>and</w:t>
      </w:r>
      <w:r w:rsidR="00536877" w:rsidRPr="00536877">
        <w:rPr>
          <w:rFonts w:ascii="Calibri-Bold" w:hAnsi="Calibri-Bold" w:cs="Calibri-Bold"/>
          <w:b/>
          <w:bCs/>
        </w:rPr>
        <w:t xml:space="preserve"> </w:t>
      </w:r>
      <w:r w:rsidRPr="00536877">
        <w:rPr>
          <w:rFonts w:ascii="Calibri-Bold" w:hAnsi="Calibri-Bold" w:cs="Calibri-Bold"/>
          <w:b/>
          <w:bCs/>
        </w:rPr>
        <w:t>young</w:t>
      </w:r>
      <w:r w:rsidR="00536877" w:rsidRPr="00536877">
        <w:rPr>
          <w:rFonts w:ascii="Calibri-Bold" w:hAnsi="Calibri-Bold" w:cs="Calibri-Bold"/>
          <w:b/>
          <w:bCs/>
        </w:rPr>
        <w:t xml:space="preserve"> </w:t>
      </w:r>
      <w:r w:rsidRPr="00536877">
        <w:rPr>
          <w:rFonts w:ascii="Calibri-Bold" w:hAnsi="Calibri-Bold" w:cs="Calibri-Bold"/>
          <w:b/>
          <w:bCs/>
        </w:rPr>
        <w:t>people</w:t>
      </w:r>
      <w:r w:rsidR="00536877" w:rsidRPr="00536877">
        <w:rPr>
          <w:rFonts w:ascii="Calibri-Bold" w:hAnsi="Calibri-Bold" w:cs="Calibri-Bold"/>
          <w:b/>
          <w:bCs/>
        </w:rPr>
        <w:t xml:space="preserve"> </w:t>
      </w:r>
      <w:r w:rsidRPr="00536877">
        <w:rPr>
          <w:rFonts w:ascii="Calibri-Bold" w:hAnsi="Calibri-Bold" w:cs="Calibri-Bold"/>
          <w:b/>
          <w:bCs/>
        </w:rPr>
        <w:t>and</w:t>
      </w:r>
      <w:r w:rsidR="00536877" w:rsidRPr="00536877">
        <w:rPr>
          <w:rFonts w:ascii="Calibri-Bold" w:hAnsi="Calibri-Bold" w:cs="Calibri-Bold"/>
          <w:b/>
          <w:bCs/>
        </w:rPr>
        <w:t xml:space="preserve"> </w:t>
      </w:r>
      <w:r w:rsidR="003E22C5">
        <w:rPr>
          <w:rFonts w:ascii="Calibri-Bold" w:hAnsi="Calibri-Bold" w:cs="Calibri-Bold"/>
          <w:b/>
          <w:bCs/>
        </w:rPr>
        <w:t xml:space="preserve">schools, colleges and settings of the </w:t>
      </w:r>
      <w:r w:rsidRPr="00536877">
        <w:rPr>
          <w:rFonts w:ascii="Calibri-Bold" w:hAnsi="Calibri-Bold" w:cs="Calibri-Bold"/>
          <w:b/>
          <w:bCs/>
        </w:rPr>
        <w:t>arrangements</w:t>
      </w:r>
      <w:r w:rsidR="00536877" w:rsidRPr="00536877">
        <w:rPr>
          <w:rFonts w:ascii="Calibri-Bold" w:hAnsi="Calibri-Bold" w:cs="Calibri-Bold"/>
          <w:b/>
          <w:bCs/>
        </w:rPr>
        <w:t xml:space="preserve"> </w:t>
      </w:r>
      <w:r w:rsidRPr="00536877">
        <w:rPr>
          <w:rFonts w:ascii="Calibri-Bold" w:hAnsi="Calibri-Bold" w:cs="Calibri-Bold"/>
          <w:b/>
          <w:bCs/>
        </w:rPr>
        <w:t>for</w:t>
      </w:r>
      <w:r w:rsidR="00536877" w:rsidRPr="00536877">
        <w:rPr>
          <w:rFonts w:ascii="Calibri-Bold" w:hAnsi="Calibri-Bold" w:cs="Calibri-Bold"/>
          <w:b/>
          <w:bCs/>
        </w:rPr>
        <w:t xml:space="preserve"> </w:t>
      </w:r>
      <w:r w:rsidRPr="00536877">
        <w:rPr>
          <w:rFonts w:ascii="Calibri-Bold" w:hAnsi="Calibri-Bold" w:cs="Calibri-Bold"/>
          <w:b/>
          <w:bCs/>
        </w:rPr>
        <w:t>a</w:t>
      </w:r>
      <w:r w:rsidR="00536877" w:rsidRPr="00536877">
        <w:rPr>
          <w:rFonts w:ascii="Calibri-Bold" w:hAnsi="Calibri-Bold" w:cs="Calibri-Bold"/>
          <w:b/>
          <w:bCs/>
        </w:rPr>
        <w:t xml:space="preserve"> </w:t>
      </w:r>
      <w:r w:rsidRPr="00536877">
        <w:rPr>
          <w:rFonts w:ascii="Calibri-Bold" w:hAnsi="Calibri-Bold" w:cs="Calibri-Bold"/>
          <w:b/>
          <w:bCs/>
        </w:rPr>
        <w:t>child</w:t>
      </w:r>
      <w:r w:rsidR="00536877" w:rsidRPr="00536877">
        <w:rPr>
          <w:rFonts w:ascii="Calibri-Bold" w:hAnsi="Calibri-Bold" w:cs="Calibri-Bold"/>
          <w:b/>
          <w:bCs/>
        </w:rPr>
        <w:t xml:space="preserve"> </w:t>
      </w:r>
      <w:r w:rsidRPr="00536877">
        <w:rPr>
          <w:rFonts w:ascii="Calibri-Bold" w:hAnsi="Calibri-Bold" w:cs="Calibri-Bold"/>
          <w:b/>
          <w:bCs/>
        </w:rPr>
        <w:t>or</w:t>
      </w:r>
      <w:r w:rsidR="00536877" w:rsidRPr="00536877">
        <w:rPr>
          <w:rFonts w:ascii="Calibri-Bold" w:hAnsi="Calibri-Bold" w:cs="Calibri-Bold"/>
          <w:b/>
          <w:bCs/>
        </w:rPr>
        <w:t xml:space="preserve"> </w:t>
      </w:r>
      <w:r w:rsidRPr="00536877">
        <w:rPr>
          <w:rFonts w:ascii="Calibri-Bold" w:hAnsi="Calibri-Bold" w:cs="Calibri-Bold"/>
          <w:b/>
          <w:bCs/>
        </w:rPr>
        <w:t>young</w:t>
      </w:r>
      <w:r w:rsidR="00536877" w:rsidRPr="00536877">
        <w:rPr>
          <w:rFonts w:ascii="Calibri-Bold" w:hAnsi="Calibri-Bold" w:cs="Calibri-Bold"/>
          <w:b/>
          <w:bCs/>
        </w:rPr>
        <w:t xml:space="preserve"> </w:t>
      </w:r>
      <w:r w:rsidRPr="00536877">
        <w:rPr>
          <w:rFonts w:ascii="Calibri-Bold" w:hAnsi="Calibri-Bold" w:cs="Calibri-Bold"/>
          <w:b/>
          <w:bCs/>
        </w:rPr>
        <w:t>person’s</w:t>
      </w:r>
      <w:r w:rsidR="00536877" w:rsidRPr="00536877">
        <w:rPr>
          <w:rFonts w:ascii="Calibri-Bold" w:hAnsi="Calibri-Bold" w:cs="Calibri-Bold"/>
          <w:b/>
          <w:bCs/>
        </w:rPr>
        <w:t xml:space="preserve"> </w:t>
      </w:r>
      <w:r w:rsidRPr="00536877">
        <w:rPr>
          <w:rFonts w:ascii="Calibri-Bold" w:hAnsi="Calibri-Bold" w:cs="Calibri-Bold"/>
          <w:b/>
          <w:bCs/>
        </w:rPr>
        <w:t>transfer</w:t>
      </w:r>
      <w:r w:rsidR="00536877" w:rsidRPr="00536877">
        <w:rPr>
          <w:rFonts w:ascii="Calibri-Bold" w:hAnsi="Calibri-Bold" w:cs="Calibri-Bold"/>
          <w:b/>
          <w:bCs/>
        </w:rPr>
        <w:t xml:space="preserve"> </w:t>
      </w:r>
      <w:r w:rsidR="00536877">
        <w:rPr>
          <w:rFonts w:ascii="Calibri-Bold" w:hAnsi="Calibri-Bold" w:cs="Calibri-Bold"/>
          <w:b/>
          <w:bCs/>
        </w:rPr>
        <w:t>r</w:t>
      </w:r>
      <w:r w:rsidR="00536877" w:rsidRPr="00536877">
        <w:rPr>
          <w:rFonts w:ascii="Calibri-Bold" w:hAnsi="Calibri-Bold" w:cs="Calibri-Bold"/>
          <w:b/>
          <w:bCs/>
        </w:rPr>
        <w:t>eview</w:t>
      </w:r>
    </w:p>
    <w:p w:rsidR="00536877" w:rsidRDefault="00536877" w:rsidP="003E22C5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</w:rPr>
      </w:pPr>
    </w:p>
    <w:p w:rsidR="00536877" w:rsidRPr="00536877" w:rsidRDefault="00536877" w:rsidP="003E22C5">
      <w:pPr>
        <w:autoSpaceDE w:val="0"/>
        <w:autoSpaceDN w:val="0"/>
        <w:adjustRightInd w:val="0"/>
        <w:spacing w:after="0"/>
        <w:rPr>
          <w:rFonts w:ascii="Calibri-Bold" w:hAnsi="Calibri-Bold" w:cs="Calibri-Bold"/>
          <w:bCs/>
        </w:rPr>
      </w:pPr>
      <w:r w:rsidRPr="00536877">
        <w:rPr>
          <w:rFonts w:ascii="Calibri-Bold" w:hAnsi="Calibri-Bold" w:cs="Calibri-Bold"/>
          <w:bCs/>
        </w:rPr>
        <w:t xml:space="preserve">The </w:t>
      </w:r>
      <w:r w:rsidR="00125B00">
        <w:rPr>
          <w:rFonts w:ascii="Calibri-Bold" w:hAnsi="Calibri-Bold" w:cs="Calibri-Bold"/>
          <w:bCs/>
        </w:rPr>
        <w:t>L</w:t>
      </w:r>
      <w:r w:rsidRPr="00536877">
        <w:rPr>
          <w:rFonts w:ascii="Calibri-Bold" w:hAnsi="Calibri-Bold" w:cs="Calibri-Bold"/>
          <w:bCs/>
        </w:rPr>
        <w:t xml:space="preserve">ocal </w:t>
      </w:r>
      <w:r w:rsidR="00125B00">
        <w:rPr>
          <w:rFonts w:ascii="Calibri-Bold" w:hAnsi="Calibri-Bold" w:cs="Calibri-Bold"/>
          <w:bCs/>
        </w:rPr>
        <w:t>A</w:t>
      </w:r>
      <w:r w:rsidRPr="00536877">
        <w:rPr>
          <w:rFonts w:ascii="Calibri-Bold" w:hAnsi="Calibri-Bold" w:cs="Calibri-Bold"/>
          <w:bCs/>
        </w:rPr>
        <w:t xml:space="preserve">uthority will write to </w:t>
      </w:r>
      <w:r>
        <w:rPr>
          <w:rFonts w:ascii="Calibri-Bold" w:hAnsi="Calibri-Bold" w:cs="Calibri-Bold"/>
          <w:bCs/>
        </w:rPr>
        <w:t>all parents</w:t>
      </w:r>
      <w:r w:rsidR="00461257">
        <w:rPr>
          <w:rFonts w:ascii="Calibri-Bold" w:hAnsi="Calibri-Bold" w:cs="Calibri-Bold"/>
          <w:bCs/>
        </w:rPr>
        <w:t>/carers</w:t>
      </w:r>
      <w:r>
        <w:rPr>
          <w:rFonts w:ascii="Calibri-Bold" w:hAnsi="Calibri-Bold" w:cs="Calibri-Bold"/>
          <w:bCs/>
        </w:rPr>
        <w:t xml:space="preserve"> of children with </w:t>
      </w:r>
      <w:r w:rsidR="00461257">
        <w:rPr>
          <w:rFonts w:ascii="Calibri-Bold" w:hAnsi="Calibri-Bold" w:cs="Calibri-Bold"/>
          <w:bCs/>
        </w:rPr>
        <w:t xml:space="preserve">statements of special educational needs </w:t>
      </w:r>
      <w:r w:rsidR="004B5A78">
        <w:rPr>
          <w:rFonts w:ascii="Calibri-Bold" w:hAnsi="Calibri-Bold" w:cs="Calibri-Bold"/>
          <w:bCs/>
        </w:rPr>
        <w:t xml:space="preserve">and non-statutory EHC plans </w:t>
      </w:r>
      <w:r w:rsidR="00461257">
        <w:rPr>
          <w:rFonts w:ascii="Calibri-Bold" w:hAnsi="Calibri-Bold" w:cs="Calibri-Bold"/>
          <w:bCs/>
        </w:rPr>
        <w:t>a</w:t>
      </w:r>
      <w:r>
        <w:rPr>
          <w:rFonts w:ascii="Calibri-Bold" w:hAnsi="Calibri-Bold" w:cs="Calibri-Bold"/>
          <w:bCs/>
        </w:rPr>
        <w:t xml:space="preserve">t school (copy to </w:t>
      </w:r>
      <w:r w:rsidR="004B5A78">
        <w:rPr>
          <w:rFonts w:ascii="Calibri-Bold" w:hAnsi="Calibri-Bold" w:cs="Calibri-Bold"/>
          <w:bCs/>
        </w:rPr>
        <w:t xml:space="preserve">the </w:t>
      </w:r>
      <w:r>
        <w:rPr>
          <w:rFonts w:ascii="Calibri-Bold" w:hAnsi="Calibri-Bold" w:cs="Calibri-Bold"/>
          <w:bCs/>
        </w:rPr>
        <w:t>school) at the beginning of the academic year within which their child’s transfer review should be held.</w:t>
      </w:r>
      <w:r w:rsidR="003E22C5">
        <w:rPr>
          <w:rFonts w:ascii="Calibri-Bold" w:hAnsi="Calibri-Bold" w:cs="Calibri-Bold"/>
          <w:bCs/>
        </w:rPr>
        <w:t xml:space="preserve"> </w:t>
      </w:r>
      <w:r>
        <w:rPr>
          <w:rFonts w:ascii="Calibri-Bold" w:hAnsi="Calibri-Bold" w:cs="Calibri-Bold"/>
          <w:bCs/>
        </w:rPr>
        <w:t>The school will then write to the parents</w:t>
      </w:r>
      <w:r w:rsidR="00461257">
        <w:rPr>
          <w:rFonts w:ascii="Calibri-Bold" w:hAnsi="Calibri-Bold" w:cs="Calibri-Bold"/>
          <w:bCs/>
        </w:rPr>
        <w:t>/carers</w:t>
      </w:r>
      <w:r>
        <w:rPr>
          <w:rFonts w:ascii="Calibri-Bold" w:hAnsi="Calibri-Bold" w:cs="Calibri-Bold"/>
          <w:bCs/>
        </w:rPr>
        <w:t xml:space="preserve"> in the normal way </w:t>
      </w:r>
      <w:r w:rsidR="005D7797">
        <w:t xml:space="preserve">giving </w:t>
      </w:r>
      <w:r w:rsidR="005D7797">
        <w:rPr>
          <w:rFonts w:ascii="Calibri-Bold" w:hAnsi="Calibri-Bold" w:cs="Calibri-Bold"/>
          <w:bCs/>
        </w:rPr>
        <w:t>them at least 2 weeks notice of their child’s transfer review.</w:t>
      </w:r>
    </w:p>
    <w:p w:rsidR="00536877" w:rsidRDefault="005D7797" w:rsidP="003E22C5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</w:t>
      </w:r>
    </w:p>
    <w:p w:rsidR="004B5A78" w:rsidRDefault="00125B00" w:rsidP="003E22C5">
      <w:pPr>
        <w:tabs>
          <w:tab w:val="left" w:pos="3483"/>
        </w:tabs>
      </w:pPr>
      <w:r w:rsidRPr="00125B00">
        <w:t xml:space="preserve">The </w:t>
      </w:r>
      <w:r>
        <w:t xml:space="preserve">Local Authority will write to all young people </w:t>
      </w:r>
      <w:r w:rsidRPr="00125B00">
        <w:t xml:space="preserve">in </w:t>
      </w:r>
      <w:r w:rsidR="004B5A78">
        <w:t>f</w:t>
      </w:r>
      <w:r w:rsidRPr="00125B00">
        <w:t xml:space="preserve">urther </w:t>
      </w:r>
      <w:r w:rsidR="004B5A78">
        <w:t>e</w:t>
      </w:r>
      <w:r w:rsidRPr="00125B00">
        <w:t xml:space="preserve">ducation </w:t>
      </w:r>
      <w:r w:rsidR="004B5A78">
        <w:t xml:space="preserve">or training </w:t>
      </w:r>
      <w:r>
        <w:t xml:space="preserve">with an LDA (copy to </w:t>
      </w:r>
      <w:r w:rsidR="004B5A78">
        <w:t>the setting</w:t>
      </w:r>
      <w:r>
        <w:t xml:space="preserve">) </w:t>
      </w:r>
      <w:r w:rsidR="00B25F81">
        <w:t>by March 31</w:t>
      </w:r>
      <w:r w:rsidR="00B25F81" w:rsidRPr="00BF20D8">
        <w:rPr>
          <w:vertAlign w:val="superscript"/>
        </w:rPr>
        <w:t>st</w:t>
      </w:r>
      <w:r w:rsidR="00B25F81">
        <w:t xml:space="preserve"> 2015</w:t>
      </w:r>
      <w:r w:rsidR="00B25F81">
        <w:rPr>
          <w:color w:val="FF0000"/>
        </w:rPr>
        <w:t xml:space="preserve"> </w:t>
      </w:r>
      <w:r w:rsidR="004B5A78">
        <w:t xml:space="preserve">informing them of their right to request a plan. </w:t>
      </w:r>
      <w:r w:rsidR="00B25F81">
        <w:t xml:space="preserve"> </w:t>
      </w:r>
    </w:p>
    <w:p w:rsidR="003E22C5" w:rsidRDefault="00490811" w:rsidP="003E22C5">
      <w:pPr>
        <w:tabs>
          <w:tab w:val="left" w:pos="3483"/>
        </w:tabs>
      </w:pPr>
      <w:r>
        <w:t>T</w:t>
      </w:r>
      <w:r w:rsidR="004B5A78" w:rsidRPr="00125B00">
        <w:t xml:space="preserve">he </w:t>
      </w:r>
      <w:r w:rsidR="004B5A78">
        <w:t xml:space="preserve">Local Authority will </w:t>
      </w:r>
      <w:r>
        <w:t>then write to</w:t>
      </w:r>
      <w:r w:rsidR="00B25F81">
        <w:t xml:space="preserve"> those </w:t>
      </w:r>
      <w:r w:rsidR="004B5A78">
        <w:t xml:space="preserve">young people </w:t>
      </w:r>
      <w:r w:rsidR="004B5A78" w:rsidRPr="00125B00">
        <w:t xml:space="preserve">in </w:t>
      </w:r>
      <w:r w:rsidR="004B5A78">
        <w:t>f</w:t>
      </w:r>
      <w:r w:rsidR="004B5A78" w:rsidRPr="00125B00">
        <w:t xml:space="preserve">urther </w:t>
      </w:r>
      <w:r w:rsidR="004B5A78">
        <w:t>e</w:t>
      </w:r>
      <w:r w:rsidR="004B5A78" w:rsidRPr="00125B00">
        <w:t xml:space="preserve">ducation </w:t>
      </w:r>
      <w:r w:rsidR="004B5A78">
        <w:t xml:space="preserve">or training with an LDA </w:t>
      </w:r>
      <w:r w:rsidR="00125B00" w:rsidRPr="00BF20D8">
        <w:rPr>
          <w:u w:val="single"/>
        </w:rPr>
        <w:t xml:space="preserve">who the Local Authority believes </w:t>
      </w:r>
      <w:r w:rsidR="00125B00">
        <w:t xml:space="preserve">requires a plan and who are remaining in education beyond </w:t>
      </w:r>
      <w:r w:rsidR="00B25F81">
        <w:t xml:space="preserve">August </w:t>
      </w:r>
      <w:r w:rsidR="00125B00">
        <w:t xml:space="preserve">2016 </w:t>
      </w:r>
      <w:r w:rsidR="00125B00" w:rsidRPr="00125B00">
        <w:t xml:space="preserve">informing them </w:t>
      </w:r>
      <w:r w:rsidR="00125B00">
        <w:t>th</w:t>
      </w:r>
      <w:r w:rsidR="003E22C5">
        <w:t>at th</w:t>
      </w:r>
      <w:r w:rsidR="00125B00">
        <w:t>eir transfer review</w:t>
      </w:r>
      <w:r w:rsidR="003E22C5">
        <w:t xml:space="preserve"> will need to be held by August 2016</w:t>
      </w:r>
      <w:r w:rsidR="00125B00">
        <w:t xml:space="preserve">. </w:t>
      </w:r>
      <w:r w:rsidR="003E22C5">
        <w:t xml:space="preserve">The college will then write to the young person and their family giving </w:t>
      </w:r>
      <w:r w:rsidR="003E22C5">
        <w:rPr>
          <w:rFonts w:ascii="Calibri-Bold" w:hAnsi="Calibri-Bold" w:cs="Calibri-Bold"/>
          <w:bCs/>
        </w:rPr>
        <w:t xml:space="preserve">them at least 2 </w:t>
      </w:r>
      <w:proofErr w:type="spellStart"/>
      <w:r w:rsidR="003E22C5">
        <w:rPr>
          <w:rFonts w:ascii="Calibri-Bold" w:hAnsi="Calibri-Bold" w:cs="Calibri-Bold"/>
          <w:bCs/>
        </w:rPr>
        <w:t>weeks notice</w:t>
      </w:r>
      <w:proofErr w:type="spellEnd"/>
      <w:r w:rsidR="003E22C5">
        <w:rPr>
          <w:rFonts w:ascii="Calibri-Bold" w:hAnsi="Calibri-Bold" w:cs="Calibri-Bold"/>
          <w:bCs/>
        </w:rPr>
        <w:t xml:space="preserve"> of their </w:t>
      </w:r>
      <w:r w:rsidR="0072137B">
        <w:rPr>
          <w:rFonts w:ascii="Calibri-Bold" w:hAnsi="Calibri-Bold" w:cs="Calibri-Bold"/>
          <w:bCs/>
        </w:rPr>
        <w:t>young person’s</w:t>
      </w:r>
      <w:r w:rsidR="003E22C5">
        <w:rPr>
          <w:rFonts w:ascii="Calibri-Bold" w:hAnsi="Calibri-Bold" w:cs="Calibri-Bold"/>
          <w:bCs/>
        </w:rPr>
        <w:t xml:space="preserve"> transfer review.</w:t>
      </w:r>
    </w:p>
    <w:p w:rsidR="00125B00" w:rsidRDefault="00125B00" w:rsidP="003E22C5">
      <w:pPr>
        <w:tabs>
          <w:tab w:val="left" w:pos="3483"/>
        </w:tabs>
      </w:pPr>
      <w:r>
        <w:t>Other y</w:t>
      </w:r>
      <w:r w:rsidRPr="00125B00">
        <w:t xml:space="preserve">oung people with an LDA </w:t>
      </w:r>
      <w:r>
        <w:t xml:space="preserve">and who are remaining in education beyond 2016 can </w:t>
      </w:r>
      <w:r w:rsidRPr="00125B00">
        <w:t>request a</w:t>
      </w:r>
      <w:r>
        <w:t xml:space="preserve"> plan and this will be considered through a transfer review </w:t>
      </w:r>
      <w:r w:rsidR="003E22C5">
        <w:t>organised following receipt of their request.</w:t>
      </w:r>
    </w:p>
    <w:p w:rsidR="003F4F4B" w:rsidRDefault="003F4F4B" w:rsidP="003E22C5">
      <w:pPr>
        <w:tabs>
          <w:tab w:val="left" w:pos="3483"/>
        </w:tabs>
        <w:rPr>
          <w:b/>
        </w:rPr>
      </w:pPr>
      <w:r w:rsidRPr="003F4F4B">
        <w:rPr>
          <w:b/>
        </w:rPr>
        <w:t>Independent S</w:t>
      </w:r>
      <w:r w:rsidR="003E22C5">
        <w:rPr>
          <w:b/>
        </w:rPr>
        <w:t xml:space="preserve">pecial </w:t>
      </w:r>
      <w:r w:rsidRPr="003F4F4B">
        <w:rPr>
          <w:b/>
        </w:rPr>
        <w:t>E</w:t>
      </w:r>
      <w:r w:rsidR="003E22C5">
        <w:rPr>
          <w:b/>
        </w:rPr>
        <w:t xml:space="preserve">ducational </w:t>
      </w:r>
      <w:r w:rsidRPr="003F4F4B">
        <w:rPr>
          <w:b/>
        </w:rPr>
        <w:t>N</w:t>
      </w:r>
      <w:r w:rsidR="003E22C5">
        <w:rPr>
          <w:b/>
        </w:rPr>
        <w:t>eeds</w:t>
      </w:r>
      <w:r w:rsidRPr="003F4F4B">
        <w:rPr>
          <w:b/>
        </w:rPr>
        <w:t xml:space="preserve"> information and advice</w:t>
      </w:r>
    </w:p>
    <w:p w:rsidR="00461257" w:rsidRDefault="00461257" w:rsidP="003E22C5">
      <w:pPr>
        <w:tabs>
          <w:tab w:val="left" w:pos="3483"/>
        </w:tabs>
      </w:pPr>
      <w:r>
        <w:t xml:space="preserve">Independent support and impartial information and advice </w:t>
      </w:r>
      <w:proofErr w:type="gramStart"/>
      <w:r>
        <w:t>is</w:t>
      </w:r>
      <w:proofErr w:type="gramEnd"/>
      <w:r>
        <w:t xml:space="preserve"> available to support parents/carers or </w:t>
      </w:r>
      <w:r w:rsidR="002371DF">
        <w:t xml:space="preserve">the </w:t>
      </w:r>
      <w:r>
        <w:t>young person through the transfer review process</w:t>
      </w:r>
      <w:r w:rsidR="002371DF">
        <w:t xml:space="preserve"> from:</w:t>
      </w:r>
      <w:r>
        <w:t xml:space="preserve"> </w:t>
      </w:r>
    </w:p>
    <w:p w:rsidR="00AE4209" w:rsidRDefault="00AE4209" w:rsidP="00AE4209">
      <w:pPr>
        <w:spacing w:after="0" w:line="336" w:lineRule="atLeast"/>
        <w:rPr>
          <w:rFonts w:eastAsia="Times New Roman"/>
          <w:color w:val="000000" w:themeColor="text1"/>
          <w:lang w:val="en" w:eastAsia="en-GB"/>
        </w:rPr>
      </w:pPr>
      <w:r>
        <w:rPr>
          <w:rFonts w:eastAsia="Times New Roman"/>
          <w:color w:val="000000" w:themeColor="text1"/>
          <w:lang w:val="en" w:eastAsia="en-GB"/>
        </w:rPr>
        <w:t>Special Educational Needs Information, Advice and Support (SENDIASS)</w:t>
      </w:r>
    </w:p>
    <w:p w:rsidR="00113A7C" w:rsidRDefault="00113A7C" w:rsidP="00AE4209">
      <w:pPr>
        <w:spacing w:after="0" w:line="336" w:lineRule="atLeast"/>
        <w:rPr>
          <w:rFonts w:eastAsia="Times New Roman"/>
          <w:color w:val="000000" w:themeColor="text1"/>
          <w:lang w:val="en" w:eastAsia="en-GB"/>
        </w:rPr>
      </w:pPr>
    </w:p>
    <w:p w:rsidR="00AE4209" w:rsidRDefault="00AE4209" w:rsidP="00AE4209">
      <w:pPr>
        <w:spacing w:after="0" w:line="336" w:lineRule="atLeast"/>
        <w:rPr>
          <w:rFonts w:eastAsia="Times New Roman"/>
          <w:color w:val="000000" w:themeColor="text1"/>
          <w:lang w:val="en" w:eastAsia="en-GB"/>
        </w:rPr>
      </w:pPr>
      <w:r w:rsidRPr="00AE4209">
        <w:rPr>
          <w:rFonts w:eastAsia="Times New Roman"/>
          <w:color w:val="000000" w:themeColor="text1"/>
          <w:lang w:val="en" w:eastAsia="en-GB"/>
        </w:rPr>
        <w:t xml:space="preserve">Voluntary Action </w:t>
      </w:r>
    </w:p>
    <w:p w:rsidR="00AE4209" w:rsidRDefault="00AE4209" w:rsidP="00AE4209">
      <w:pPr>
        <w:spacing w:after="0" w:line="336" w:lineRule="atLeast"/>
        <w:rPr>
          <w:rFonts w:eastAsia="Times New Roman"/>
          <w:color w:val="000000" w:themeColor="text1"/>
          <w:lang w:val="en" w:eastAsia="en-GB"/>
        </w:rPr>
      </w:pPr>
      <w:r w:rsidRPr="00AE4209">
        <w:rPr>
          <w:rFonts w:eastAsia="Times New Roman"/>
          <w:color w:val="000000" w:themeColor="text1"/>
          <w:lang w:val="en" w:eastAsia="en-GB"/>
        </w:rPr>
        <w:t xml:space="preserve">Leicester </w:t>
      </w:r>
    </w:p>
    <w:p w:rsidR="00AE4209" w:rsidRDefault="00AE4209" w:rsidP="00AE4209">
      <w:pPr>
        <w:spacing w:after="0" w:line="336" w:lineRule="atLeast"/>
        <w:rPr>
          <w:rFonts w:eastAsia="Times New Roman"/>
          <w:color w:val="000000" w:themeColor="text1"/>
          <w:lang w:val="en" w:eastAsia="en-GB"/>
        </w:rPr>
      </w:pPr>
      <w:r w:rsidRPr="00AE4209">
        <w:rPr>
          <w:rFonts w:eastAsia="Times New Roman"/>
          <w:color w:val="000000" w:themeColor="text1"/>
          <w:lang w:val="en" w:eastAsia="en-GB"/>
        </w:rPr>
        <w:t xml:space="preserve">LE1 5SN </w:t>
      </w:r>
    </w:p>
    <w:p w:rsidR="00AE4209" w:rsidRPr="00AE4209" w:rsidRDefault="00AE4209" w:rsidP="00AE4209">
      <w:pPr>
        <w:spacing w:after="0" w:line="336" w:lineRule="atLeast"/>
        <w:rPr>
          <w:rFonts w:eastAsia="Times New Roman"/>
          <w:color w:val="000000" w:themeColor="text1"/>
          <w:lang w:val="en" w:eastAsia="en-GB"/>
        </w:rPr>
      </w:pPr>
      <w:r w:rsidRPr="00AE4209">
        <w:rPr>
          <w:rFonts w:eastAsia="Times New Roman"/>
          <w:bCs/>
          <w:color w:val="000000" w:themeColor="text1"/>
          <w:lang w:val="en" w:eastAsia="en-GB"/>
        </w:rPr>
        <w:lastRenderedPageBreak/>
        <w:t>Telephone: </w:t>
      </w:r>
      <w:r w:rsidRPr="00AE4209">
        <w:rPr>
          <w:rFonts w:eastAsia="Times New Roman"/>
          <w:color w:val="000000" w:themeColor="text1"/>
          <w:lang w:val="en" w:eastAsia="en-GB"/>
        </w:rPr>
        <w:t>0116 2575027</w:t>
      </w:r>
    </w:p>
    <w:p w:rsidR="00AE4209" w:rsidRPr="00AE4209" w:rsidRDefault="00AE4209" w:rsidP="00AE4209">
      <w:pPr>
        <w:spacing w:after="0" w:line="336" w:lineRule="atLeast"/>
        <w:rPr>
          <w:rFonts w:eastAsia="Times New Roman"/>
          <w:color w:val="000000" w:themeColor="text1"/>
          <w:lang w:val="en" w:eastAsia="en-GB"/>
        </w:rPr>
      </w:pPr>
      <w:r w:rsidRPr="00AE4209">
        <w:rPr>
          <w:rFonts w:eastAsia="Times New Roman"/>
          <w:bCs/>
          <w:color w:val="000000" w:themeColor="text1"/>
          <w:lang w:val="en" w:eastAsia="en-GB"/>
        </w:rPr>
        <w:t>Email: </w:t>
      </w:r>
      <w:hyperlink r:id="rId7" w:history="1">
        <w:r w:rsidRPr="00AE4209">
          <w:rPr>
            <w:rFonts w:eastAsia="Times New Roman"/>
            <w:color w:val="000000" w:themeColor="text1"/>
            <w:u w:val="single"/>
            <w:lang w:val="en" w:eastAsia="en-GB"/>
          </w:rPr>
          <w:t>pps@valonline.org.uk</w:t>
        </w:r>
      </w:hyperlink>
    </w:p>
    <w:p w:rsidR="00AE4209" w:rsidRDefault="00AE4209" w:rsidP="00AE4209">
      <w:pPr>
        <w:spacing w:after="0" w:line="336" w:lineRule="atLeast"/>
        <w:rPr>
          <w:rFonts w:eastAsia="Times New Roman"/>
          <w:color w:val="000000" w:themeColor="text1"/>
          <w:lang w:val="en" w:eastAsia="en-GB"/>
        </w:rPr>
      </w:pPr>
      <w:r>
        <w:rPr>
          <w:rFonts w:eastAsia="Times New Roman"/>
          <w:bCs/>
          <w:color w:val="000000" w:themeColor="text1"/>
          <w:lang w:val="en" w:eastAsia="en-GB"/>
        </w:rPr>
        <w:t xml:space="preserve">Webpage: </w:t>
      </w:r>
      <w:hyperlink r:id="rId8" w:history="1">
        <w:r w:rsidRPr="00307384">
          <w:rPr>
            <w:rStyle w:val="Hyperlink"/>
            <w:rFonts w:eastAsia="Times New Roman"/>
            <w:lang w:val="en" w:eastAsia="en-GB"/>
          </w:rPr>
          <w:t>http://www.sendiassleicester.org.uk/</w:t>
        </w:r>
      </w:hyperlink>
    </w:p>
    <w:p w:rsidR="00AE4209" w:rsidRDefault="00AE4209" w:rsidP="00AE4209">
      <w:pPr>
        <w:spacing w:line="336" w:lineRule="atLeast"/>
        <w:rPr>
          <w:rFonts w:eastAsia="Times New Roman"/>
          <w:color w:val="000000" w:themeColor="text1"/>
          <w:lang w:val="en" w:eastAsia="en-GB"/>
        </w:rPr>
      </w:pPr>
      <w:r>
        <w:rPr>
          <w:rFonts w:eastAsia="Times New Roman"/>
          <w:color w:val="000000" w:themeColor="text1"/>
          <w:lang w:val="en" w:eastAsia="en-GB"/>
        </w:rPr>
        <w:t xml:space="preserve"> </w:t>
      </w:r>
    </w:p>
    <w:p w:rsidR="00F73D43" w:rsidRDefault="00F73D43" w:rsidP="00AE4209">
      <w:pPr>
        <w:spacing w:line="336" w:lineRule="atLeast"/>
        <w:rPr>
          <w:b/>
        </w:rPr>
      </w:pPr>
      <w:r>
        <w:rPr>
          <w:b/>
        </w:rPr>
        <w:t>Any queries about the process</w:t>
      </w:r>
    </w:p>
    <w:p w:rsidR="005D7797" w:rsidRDefault="005D7797" w:rsidP="00461257">
      <w:pPr>
        <w:tabs>
          <w:tab w:val="left" w:pos="3483"/>
        </w:tabs>
        <w:spacing w:after="0"/>
      </w:pPr>
    </w:p>
    <w:p w:rsidR="00461257" w:rsidRDefault="00461257" w:rsidP="00461257">
      <w:pPr>
        <w:tabs>
          <w:tab w:val="left" w:pos="3483"/>
        </w:tabs>
        <w:spacing w:after="0"/>
      </w:pPr>
      <w:r>
        <w:t>For any q</w:t>
      </w:r>
      <w:r w:rsidRPr="00461257">
        <w:t xml:space="preserve">ueries </w:t>
      </w:r>
      <w:r>
        <w:t>or</w:t>
      </w:r>
      <w:r w:rsidRPr="00461257">
        <w:t xml:space="preserve"> complaints about the transition to the new system</w:t>
      </w:r>
      <w:r>
        <w:t>, please contact:</w:t>
      </w:r>
    </w:p>
    <w:p w:rsidR="005D7797" w:rsidRDefault="005D7797" w:rsidP="00461257">
      <w:pPr>
        <w:tabs>
          <w:tab w:val="left" w:pos="3483"/>
        </w:tabs>
        <w:spacing w:after="0"/>
      </w:pPr>
    </w:p>
    <w:p w:rsidR="00461257" w:rsidRDefault="00461257" w:rsidP="00461257">
      <w:pPr>
        <w:tabs>
          <w:tab w:val="left" w:pos="3483"/>
        </w:tabs>
        <w:spacing w:after="0"/>
      </w:pPr>
      <w:r w:rsidRPr="00461257">
        <w:t xml:space="preserve">Special Education Service </w:t>
      </w:r>
      <w:r>
        <w:t>Manager</w:t>
      </w:r>
      <w:r w:rsidRPr="00461257">
        <w:t xml:space="preserve"> </w:t>
      </w:r>
    </w:p>
    <w:p w:rsidR="00461257" w:rsidRDefault="00461257" w:rsidP="00461257">
      <w:pPr>
        <w:tabs>
          <w:tab w:val="left" w:pos="3483"/>
        </w:tabs>
        <w:spacing w:after="0"/>
      </w:pPr>
      <w:r w:rsidRPr="00461257">
        <w:t>Special Education Service</w:t>
      </w:r>
    </w:p>
    <w:p w:rsidR="00461257" w:rsidRDefault="00461257" w:rsidP="00461257">
      <w:pPr>
        <w:tabs>
          <w:tab w:val="left" w:pos="3483"/>
        </w:tabs>
        <w:spacing w:after="0"/>
      </w:pPr>
      <w:r w:rsidRPr="00461257">
        <w:t xml:space="preserve">10 York Road </w:t>
      </w:r>
    </w:p>
    <w:p w:rsidR="00461257" w:rsidRDefault="00461257" w:rsidP="00461257">
      <w:pPr>
        <w:tabs>
          <w:tab w:val="left" w:pos="3483"/>
        </w:tabs>
        <w:spacing w:after="0"/>
      </w:pPr>
      <w:r w:rsidRPr="00461257">
        <w:t xml:space="preserve">Leicester </w:t>
      </w:r>
    </w:p>
    <w:p w:rsidR="00461257" w:rsidRPr="00461257" w:rsidRDefault="00461257" w:rsidP="00461257">
      <w:pPr>
        <w:tabs>
          <w:tab w:val="left" w:pos="3483"/>
        </w:tabs>
        <w:spacing w:after="0"/>
      </w:pPr>
      <w:r w:rsidRPr="00461257">
        <w:t xml:space="preserve">LE1 5TS </w:t>
      </w:r>
    </w:p>
    <w:p w:rsidR="00AE4209" w:rsidRPr="00AE4209" w:rsidRDefault="00AE4209" w:rsidP="00AE4209">
      <w:pPr>
        <w:shd w:val="clear" w:color="auto" w:fill="FFFFFF"/>
        <w:spacing w:after="0"/>
        <w:rPr>
          <w:rFonts w:eastAsia="Times New Roman"/>
          <w:color w:val="000000"/>
          <w:lang w:eastAsia="en-GB"/>
        </w:rPr>
      </w:pPr>
      <w:r w:rsidRPr="00AE4209">
        <w:rPr>
          <w:rFonts w:eastAsia="Times New Roman"/>
          <w:color w:val="000000"/>
          <w:lang w:eastAsia="en-GB"/>
        </w:rPr>
        <w:t>Telephone:        (0116) 454 2050</w:t>
      </w:r>
    </w:p>
    <w:p w:rsidR="00AE4209" w:rsidRPr="00AE4209" w:rsidRDefault="00AE4209" w:rsidP="00AE4209">
      <w:pPr>
        <w:shd w:val="clear" w:color="auto" w:fill="FFFFFF"/>
        <w:spacing w:after="0"/>
        <w:rPr>
          <w:rFonts w:eastAsia="Times New Roman"/>
          <w:color w:val="000000"/>
          <w:lang w:eastAsia="en-GB"/>
        </w:rPr>
      </w:pPr>
      <w:r w:rsidRPr="00AE4209">
        <w:rPr>
          <w:rFonts w:eastAsia="Times New Roman"/>
          <w:color w:val="000000"/>
          <w:lang w:eastAsia="en-GB"/>
        </w:rPr>
        <w:t>Fax:                   (0116) 229 4369</w:t>
      </w:r>
    </w:p>
    <w:p w:rsidR="00AE4209" w:rsidRPr="00AE4209" w:rsidRDefault="00AE4209" w:rsidP="00AE4209">
      <w:pPr>
        <w:shd w:val="clear" w:color="auto" w:fill="FFFFFF"/>
        <w:spacing w:after="0"/>
        <w:rPr>
          <w:rFonts w:eastAsia="Times New Roman"/>
          <w:color w:val="0000FF"/>
          <w:lang w:eastAsia="en-GB"/>
        </w:rPr>
      </w:pPr>
      <w:r w:rsidRPr="00AE4209">
        <w:rPr>
          <w:rFonts w:eastAsia="Times New Roman"/>
          <w:color w:val="000000"/>
          <w:lang w:eastAsia="en-GB"/>
        </w:rPr>
        <w:t>Email:               </w:t>
      </w:r>
      <w:hyperlink r:id="rId9" w:tooltip="ses@leicester.gov.uk" w:history="1">
        <w:r w:rsidRPr="00AE4209">
          <w:rPr>
            <w:rFonts w:eastAsia="Times New Roman"/>
            <w:b/>
            <w:bCs/>
            <w:color w:val="2C3641"/>
            <w:lang w:eastAsia="en-GB"/>
          </w:rPr>
          <w:t>ses@leicester.gov.uk</w:t>
        </w:r>
      </w:hyperlink>
      <w:r>
        <w:rPr>
          <w:rFonts w:eastAsia="Times New Roman"/>
          <w:color w:val="0000FF"/>
          <w:lang w:eastAsia="en-GB"/>
        </w:rPr>
        <w:t xml:space="preserve"> </w:t>
      </w:r>
      <w:r w:rsidRPr="00AE4209">
        <w:rPr>
          <w:rFonts w:ascii="Verdana" w:eastAsia="Times New Roman" w:hAnsi="Verdana" w:cs="Segoe UI"/>
          <w:color w:val="0000FF"/>
          <w:sz w:val="18"/>
          <w:szCs w:val="18"/>
          <w:lang w:eastAsia="en-GB"/>
        </w:rPr>
        <w:t xml:space="preserve"> </w:t>
      </w:r>
    </w:p>
    <w:p w:rsidR="005D7797" w:rsidRDefault="005D7797" w:rsidP="00461257">
      <w:pPr>
        <w:tabs>
          <w:tab w:val="left" w:pos="3483"/>
        </w:tabs>
        <w:spacing w:after="0"/>
        <w:rPr>
          <w:b/>
        </w:rPr>
      </w:pPr>
    </w:p>
    <w:p w:rsidR="0064796B" w:rsidRDefault="0064796B" w:rsidP="00461257">
      <w:pPr>
        <w:tabs>
          <w:tab w:val="left" w:pos="3483"/>
        </w:tabs>
        <w:spacing w:after="0"/>
        <w:rPr>
          <w:b/>
        </w:rPr>
      </w:pPr>
      <w:r w:rsidRPr="003F4F4B">
        <w:rPr>
          <w:b/>
        </w:rPr>
        <w:t xml:space="preserve">Consultation </w:t>
      </w:r>
    </w:p>
    <w:p w:rsidR="002371DF" w:rsidRPr="003F4F4B" w:rsidRDefault="002371DF" w:rsidP="00461257">
      <w:pPr>
        <w:tabs>
          <w:tab w:val="left" w:pos="3483"/>
        </w:tabs>
        <w:spacing w:after="0"/>
        <w:rPr>
          <w:b/>
        </w:rPr>
      </w:pPr>
    </w:p>
    <w:p w:rsidR="0064796B" w:rsidRDefault="0064796B" w:rsidP="00461257">
      <w:pPr>
        <w:tabs>
          <w:tab w:val="left" w:pos="3483"/>
        </w:tabs>
        <w:spacing w:after="0"/>
      </w:pPr>
      <w:r>
        <w:t>The following groups were consulted in developing this plan:</w:t>
      </w:r>
    </w:p>
    <w:p w:rsidR="00AE4209" w:rsidRDefault="00AE4209" w:rsidP="00461257">
      <w:pPr>
        <w:tabs>
          <w:tab w:val="left" w:pos="3483"/>
        </w:tabs>
        <w:spacing w:after="0"/>
      </w:pPr>
    </w:p>
    <w:p w:rsidR="0064796B" w:rsidRDefault="0064796B" w:rsidP="00461257">
      <w:pPr>
        <w:pStyle w:val="ListParagraph"/>
        <w:numPr>
          <w:ilvl w:val="0"/>
          <w:numId w:val="2"/>
        </w:numPr>
        <w:tabs>
          <w:tab w:val="left" w:pos="3483"/>
        </w:tabs>
        <w:spacing w:after="0"/>
      </w:pPr>
      <w:r>
        <w:t>Leicester City Parent and Carer Forum</w:t>
      </w:r>
    </w:p>
    <w:p w:rsidR="0064796B" w:rsidRDefault="0064796B" w:rsidP="00461257">
      <w:pPr>
        <w:pStyle w:val="ListParagraph"/>
        <w:numPr>
          <w:ilvl w:val="0"/>
          <w:numId w:val="2"/>
        </w:numPr>
        <w:tabs>
          <w:tab w:val="left" w:pos="3483"/>
        </w:tabs>
        <w:spacing w:after="0"/>
      </w:pPr>
      <w:r>
        <w:t>Leicester City Big Mouth Forum</w:t>
      </w:r>
    </w:p>
    <w:p w:rsidR="0064796B" w:rsidRDefault="0064796B" w:rsidP="00461257">
      <w:pPr>
        <w:pStyle w:val="ListParagraph"/>
        <w:numPr>
          <w:ilvl w:val="0"/>
          <w:numId w:val="2"/>
        </w:numPr>
        <w:tabs>
          <w:tab w:val="left" w:pos="3483"/>
        </w:tabs>
        <w:spacing w:after="0"/>
      </w:pPr>
      <w:r>
        <w:t>School, colleges and Early Years settings</w:t>
      </w:r>
    </w:p>
    <w:p w:rsidR="0064796B" w:rsidRDefault="0064796B" w:rsidP="00461257">
      <w:pPr>
        <w:pStyle w:val="ListParagraph"/>
        <w:numPr>
          <w:ilvl w:val="0"/>
          <w:numId w:val="2"/>
        </w:numPr>
        <w:tabs>
          <w:tab w:val="left" w:pos="3483"/>
        </w:tabs>
        <w:spacing w:after="0"/>
      </w:pPr>
      <w:r>
        <w:t>Health services</w:t>
      </w:r>
    </w:p>
    <w:p w:rsidR="0064796B" w:rsidRDefault="0064796B" w:rsidP="00461257">
      <w:pPr>
        <w:pStyle w:val="ListParagraph"/>
        <w:numPr>
          <w:ilvl w:val="0"/>
          <w:numId w:val="2"/>
        </w:numPr>
        <w:tabs>
          <w:tab w:val="left" w:pos="3483"/>
        </w:tabs>
        <w:spacing w:after="0"/>
      </w:pPr>
      <w:r>
        <w:t>Local authority services</w:t>
      </w:r>
    </w:p>
    <w:p w:rsidR="00252180" w:rsidRDefault="00252180" w:rsidP="00461257">
      <w:pPr>
        <w:tabs>
          <w:tab w:val="left" w:pos="3483"/>
        </w:tabs>
        <w:spacing w:after="0"/>
        <w:rPr>
          <w:b/>
        </w:rPr>
      </w:pPr>
    </w:p>
    <w:sectPr w:rsidR="002521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96AF7"/>
    <w:multiLevelType w:val="hybridMultilevel"/>
    <w:tmpl w:val="AF7E0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00071"/>
    <w:multiLevelType w:val="hybridMultilevel"/>
    <w:tmpl w:val="2EE0B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7E"/>
    <w:rsid w:val="000519C3"/>
    <w:rsid w:val="000D0077"/>
    <w:rsid w:val="000F5DF7"/>
    <w:rsid w:val="00113A7C"/>
    <w:rsid w:val="00125B00"/>
    <w:rsid w:val="0017413D"/>
    <w:rsid w:val="002371DF"/>
    <w:rsid w:val="00252180"/>
    <w:rsid w:val="002621EF"/>
    <w:rsid w:val="0027552B"/>
    <w:rsid w:val="002C45A3"/>
    <w:rsid w:val="00320584"/>
    <w:rsid w:val="003262DD"/>
    <w:rsid w:val="003B6FEE"/>
    <w:rsid w:val="003B708A"/>
    <w:rsid w:val="003E22C5"/>
    <w:rsid w:val="003F02F9"/>
    <w:rsid w:val="003F4F4B"/>
    <w:rsid w:val="00461257"/>
    <w:rsid w:val="00481D63"/>
    <w:rsid w:val="00490811"/>
    <w:rsid w:val="004B5A78"/>
    <w:rsid w:val="004F1400"/>
    <w:rsid w:val="005322AC"/>
    <w:rsid w:val="00536877"/>
    <w:rsid w:val="005568C3"/>
    <w:rsid w:val="005C0B9D"/>
    <w:rsid w:val="005C3B5A"/>
    <w:rsid w:val="005D7797"/>
    <w:rsid w:val="00613F36"/>
    <w:rsid w:val="0064796B"/>
    <w:rsid w:val="00713EC1"/>
    <w:rsid w:val="00714FA8"/>
    <w:rsid w:val="0072137B"/>
    <w:rsid w:val="007A790B"/>
    <w:rsid w:val="007C35E4"/>
    <w:rsid w:val="00806C31"/>
    <w:rsid w:val="00861A47"/>
    <w:rsid w:val="0086215F"/>
    <w:rsid w:val="00917853"/>
    <w:rsid w:val="00930C6D"/>
    <w:rsid w:val="00946C47"/>
    <w:rsid w:val="00986C76"/>
    <w:rsid w:val="00A24D93"/>
    <w:rsid w:val="00AB26E1"/>
    <w:rsid w:val="00AE4209"/>
    <w:rsid w:val="00B00D8D"/>
    <w:rsid w:val="00B21D72"/>
    <w:rsid w:val="00B25F81"/>
    <w:rsid w:val="00BE6218"/>
    <w:rsid w:val="00BF20D8"/>
    <w:rsid w:val="00C47A76"/>
    <w:rsid w:val="00C63CED"/>
    <w:rsid w:val="00CB1526"/>
    <w:rsid w:val="00D10A08"/>
    <w:rsid w:val="00D43279"/>
    <w:rsid w:val="00D5257E"/>
    <w:rsid w:val="00DE2AF6"/>
    <w:rsid w:val="00E53C8C"/>
    <w:rsid w:val="00F7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69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39896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1711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42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65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983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5702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30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36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65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659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05658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90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29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597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54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73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8599">
          <w:marLeft w:val="0"/>
          <w:marRight w:val="0"/>
          <w:marTop w:val="375"/>
          <w:marBottom w:val="24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16859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0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diassleicester.org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ps@valonlin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s@leice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Riddick</dc:creator>
  <cp:lastModifiedBy>Andy Cox</cp:lastModifiedBy>
  <cp:revision>2</cp:revision>
  <dcterms:created xsi:type="dcterms:W3CDTF">2015-09-07T08:42:00Z</dcterms:created>
  <dcterms:modified xsi:type="dcterms:W3CDTF">2015-09-07T08:42:00Z</dcterms:modified>
</cp:coreProperties>
</file>