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451DD9" w:rsidRPr="006E5297" w:rsidTr="00E85867">
        <w:tc>
          <w:tcPr>
            <w:tcW w:w="10065" w:type="dxa"/>
            <w:shd w:val="clear" w:color="auto" w:fill="0070C0"/>
          </w:tcPr>
          <w:p w:rsidR="00451DD9" w:rsidRDefault="00451DD9" w:rsidP="00E85867">
            <w:pP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896CDF9" wp14:editId="7C68BD9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-47625</wp:posOffset>
                  </wp:positionV>
                  <wp:extent cx="694690" cy="81089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FFFFFF" w:themeColor="background1"/>
                <w:sz w:val="44"/>
                <w:szCs w:val="44"/>
              </w:rPr>
              <w:t xml:space="preserve">       </w:t>
            </w:r>
            <w:proofErr w:type="spellStart"/>
            <w:r w:rsidRPr="0027337E"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>Proforma</w:t>
            </w:r>
            <w:proofErr w:type="spellEnd"/>
            <w:r w:rsidRPr="0027337E"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 xml:space="preserve"> for </w:t>
            </w:r>
            <w: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>E</w:t>
            </w:r>
            <w:r w:rsidRPr="0027337E"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 xml:space="preserve">ducational </w:t>
            </w:r>
            <w: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>A</w:t>
            </w:r>
            <w:r w:rsidRPr="0027337E"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 xml:space="preserve">dvice for a statutory EHC </w:t>
            </w:r>
          </w:p>
          <w:p w:rsidR="00451DD9" w:rsidRPr="0027337E" w:rsidRDefault="00451DD9" w:rsidP="00E85867">
            <w:pPr>
              <w:rPr>
                <w:rFonts w:ascii="Comic Sans MS" w:eastAsia="Times New Roman" w:hAnsi="Comic Sans MS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 xml:space="preserve">           </w:t>
            </w:r>
            <w:r w:rsidRPr="0027337E"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 xml:space="preserve">assessment to be completed by schools, colleges and </w:t>
            </w:r>
            <w: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>s</w:t>
            </w:r>
            <w:r w:rsidRPr="0027337E"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  <w:t>ettings</w:t>
            </w:r>
          </w:p>
          <w:p w:rsidR="00451DD9" w:rsidRPr="00C20577" w:rsidRDefault="00451DD9" w:rsidP="00E85867">
            <w:pPr>
              <w:rPr>
                <w:rFonts w:ascii="Comic Sans MS" w:eastAsia="Times New Roman" w:hAnsi="Comic Sans MS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451DD9" w:rsidRDefault="00451DD9" w:rsidP="00407CED">
      <w:pPr>
        <w:spacing w:after="0"/>
        <w:rPr>
          <w:rFonts w:eastAsia="Times New Roman" w:cs="Times New Roman"/>
        </w:rPr>
      </w:pPr>
    </w:p>
    <w:p w:rsidR="00407CED" w:rsidRDefault="00441588" w:rsidP="00407CE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refer to </w:t>
      </w:r>
      <w:r w:rsidRPr="00441588">
        <w:rPr>
          <w:rFonts w:eastAsia="Times New Roman" w:cs="Times New Roman"/>
        </w:rPr>
        <w:t xml:space="preserve">Guidance for schools, colleges and settings on writing </w:t>
      </w:r>
      <w:r>
        <w:rPr>
          <w:rFonts w:eastAsia="Times New Roman" w:cs="Times New Roman"/>
        </w:rPr>
        <w:t>E</w:t>
      </w:r>
      <w:r w:rsidRPr="00441588">
        <w:rPr>
          <w:rFonts w:eastAsia="Times New Roman" w:cs="Times New Roman"/>
        </w:rPr>
        <w:t>ducational Advice for statutory EHC assessments</w:t>
      </w:r>
      <w:r>
        <w:rPr>
          <w:rFonts w:eastAsia="Times New Roman" w:cs="Times New Roman"/>
        </w:rPr>
        <w:t xml:space="preserve"> </w:t>
      </w:r>
      <w:r w:rsidRPr="00441588">
        <w:rPr>
          <w:rFonts w:eastAsia="Times New Roman" w:cs="Times New Roman"/>
        </w:rPr>
        <w:t>July 2016</w:t>
      </w:r>
      <w:r>
        <w:rPr>
          <w:rFonts w:eastAsia="Times New Roman" w:cs="Times New Roman"/>
        </w:rPr>
        <w:t xml:space="preserve"> when completing this </w:t>
      </w:r>
      <w:proofErr w:type="spellStart"/>
      <w:r>
        <w:rPr>
          <w:rFonts w:eastAsia="Times New Roman" w:cs="Times New Roman"/>
        </w:rPr>
        <w:t>proforma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407CED" w:rsidRPr="00D9674D">
        <w:rPr>
          <w:rFonts w:eastAsia="Times New Roman" w:cs="Times New Roman"/>
        </w:rPr>
        <w:t>This should build upon and update (where necessary) rather than repeat information already provided as part of the request for a</w:t>
      </w:r>
      <w:r w:rsidR="00962FBC">
        <w:rPr>
          <w:rFonts w:eastAsia="Times New Roman" w:cs="Times New Roman"/>
        </w:rPr>
        <w:t xml:space="preserve"> statutory</w:t>
      </w:r>
      <w:r w:rsidR="00407CED" w:rsidRPr="00D9674D">
        <w:rPr>
          <w:rFonts w:eastAsia="Times New Roman" w:cs="Times New Roman"/>
        </w:rPr>
        <w:t xml:space="preserve"> EHC assessment.</w:t>
      </w:r>
    </w:p>
    <w:p w:rsidR="00441588" w:rsidRDefault="00441588" w:rsidP="00407CED">
      <w:pPr>
        <w:spacing w:after="0"/>
        <w:rPr>
          <w:rFonts w:eastAsia="Times New Roman" w:cs="Times New Roman"/>
        </w:rPr>
      </w:pPr>
      <w:r w:rsidRPr="00D9674D">
        <w:rPr>
          <w:rFonts w:eastAsia="Times New Roman" w:cs="Times New Roman"/>
        </w:rPr>
        <w:t>Please prov</w:t>
      </w:r>
      <w:r>
        <w:rPr>
          <w:rFonts w:eastAsia="Times New Roman" w:cs="Times New Roman"/>
        </w:rPr>
        <w:t>ide the following information:</w:t>
      </w:r>
    </w:p>
    <w:p w:rsidR="00407CED" w:rsidRPr="00D9674D" w:rsidRDefault="00407CED" w:rsidP="00407CED">
      <w:pPr>
        <w:spacing w:after="0"/>
        <w:rPr>
          <w:rFonts w:eastAsia="Times New Roman"/>
          <w:b/>
        </w:rPr>
      </w:pPr>
    </w:p>
    <w:p w:rsidR="00407CED" w:rsidRDefault="00407CED" w:rsidP="00407CE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</w:rPr>
      </w:pPr>
      <w:r w:rsidRPr="00407CED">
        <w:rPr>
          <w:rFonts w:eastAsia="Times New Roman" w:cs="Times New Roman"/>
          <w:b/>
        </w:rPr>
        <w:t xml:space="preserve">Basic details </w:t>
      </w:r>
    </w:p>
    <w:p w:rsidR="00407CED" w:rsidRDefault="00407CED" w:rsidP="00407CED">
      <w:pPr>
        <w:pStyle w:val="ListParagraph"/>
        <w:spacing w:after="0"/>
        <w:ind w:left="1440"/>
        <w:rPr>
          <w:rFonts w:eastAsia="Times New Roman" w:cs="Times New Roman"/>
          <w:b/>
        </w:rPr>
      </w:pPr>
    </w:p>
    <w:p w:rsidR="00407CED" w:rsidRPr="00441588" w:rsidRDefault="00407CED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Child or young person’s name:</w:t>
      </w:r>
    </w:p>
    <w:p w:rsidR="00407CED" w:rsidRPr="00441588" w:rsidRDefault="00407CED" w:rsidP="00441588">
      <w:pPr>
        <w:spacing w:after="0"/>
        <w:ind w:left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Date of birth:</w:t>
      </w:r>
    </w:p>
    <w:p w:rsidR="00407CED" w:rsidRPr="00441588" w:rsidRDefault="00407CED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Name of setting/school:</w:t>
      </w:r>
    </w:p>
    <w:p w:rsidR="00407CED" w:rsidRPr="00441588" w:rsidRDefault="00407CED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Name and title of person completing advice:</w:t>
      </w:r>
    </w:p>
    <w:p w:rsidR="00407CED" w:rsidRPr="00441588" w:rsidRDefault="00407CED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Date of advice completion:</w:t>
      </w:r>
    </w:p>
    <w:p w:rsidR="00407CED" w:rsidRPr="00D9674D" w:rsidRDefault="00407CED" w:rsidP="00407CED">
      <w:pPr>
        <w:spacing w:after="0"/>
        <w:ind w:left="720" w:hanging="720"/>
        <w:rPr>
          <w:rFonts w:eastAsia="Times New Roman" w:cs="Times New Roman"/>
        </w:rPr>
      </w:pPr>
    </w:p>
    <w:p w:rsidR="00407CED" w:rsidRDefault="00407CED" w:rsidP="00407CE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00407CED">
        <w:rPr>
          <w:rFonts w:eastAsia="Times New Roman" w:cs="Times New Roman"/>
          <w:b/>
        </w:rPr>
        <w:t>The views, interests and aspirations of the child and their parents or young person</w:t>
      </w:r>
      <w:r w:rsidRPr="00407CED">
        <w:rPr>
          <w:rFonts w:eastAsia="Times New Roman" w:cs="Times New Roman"/>
        </w:rPr>
        <w:t>.</w:t>
      </w:r>
    </w:p>
    <w:p w:rsidR="00441588" w:rsidRPr="00407CED" w:rsidRDefault="00441588" w:rsidP="00441588">
      <w:pPr>
        <w:pStyle w:val="ListParagraph"/>
        <w:spacing w:after="0"/>
        <w:rPr>
          <w:rFonts w:eastAsia="Times New Roman" w:cs="Times New Roman"/>
        </w:rPr>
      </w:pPr>
    </w:p>
    <w:p w:rsidR="00441588" w:rsidRPr="00441588" w:rsidRDefault="00441588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The child or young person’s story</w:t>
      </w:r>
    </w:p>
    <w:p w:rsidR="00441588" w:rsidRPr="00441588" w:rsidRDefault="00441588" w:rsidP="00441588">
      <w:pPr>
        <w:spacing w:after="0"/>
        <w:ind w:left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Child or young person’s preferred communication style and how best to involve them in decision making.</w:t>
      </w:r>
    </w:p>
    <w:p w:rsidR="00441588" w:rsidRPr="00441588" w:rsidRDefault="00441588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The child or young person’s view, interests and aspirations</w:t>
      </w:r>
    </w:p>
    <w:p w:rsidR="00407CED" w:rsidRDefault="00441588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Parent/carers views</w:t>
      </w:r>
    </w:p>
    <w:p w:rsidR="00407CED" w:rsidRPr="00D9674D" w:rsidRDefault="00407CED" w:rsidP="00407CED">
      <w:pPr>
        <w:spacing w:after="0"/>
        <w:rPr>
          <w:rFonts w:eastAsia="Times New Roman" w:cs="Times New Roman"/>
        </w:rPr>
      </w:pPr>
    </w:p>
    <w:p w:rsidR="00407CED" w:rsidRPr="00407CED" w:rsidRDefault="00407CED" w:rsidP="00407CE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</w:rPr>
      </w:pPr>
      <w:r w:rsidRPr="00407CED">
        <w:rPr>
          <w:rFonts w:eastAsia="Times New Roman" w:cs="Times New Roman"/>
          <w:b/>
        </w:rPr>
        <w:t>The child or young person’s special educational needs.</w:t>
      </w:r>
    </w:p>
    <w:p w:rsidR="00407CED" w:rsidRPr="00D9674D" w:rsidRDefault="00407CED" w:rsidP="00407CED">
      <w:pPr>
        <w:spacing w:after="0"/>
        <w:rPr>
          <w:rFonts w:eastAsia="Times New Roman" w:cs="Times New Roman"/>
          <w:b/>
        </w:rPr>
      </w:pPr>
    </w:p>
    <w:p w:rsidR="00407CED" w:rsidRPr="00407CED" w:rsidRDefault="00407CED" w:rsidP="00407CE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</w:rPr>
      </w:pPr>
      <w:r w:rsidRPr="00407CED">
        <w:rPr>
          <w:rFonts w:eastAsia="Times New Roman" w:cs="Times New Roman"/>
          <w:b/>
        </w:rPr>
        <w:t>The outcomes for the child or young person</w:t>
      </w:r>
    </w:p>
    <w:p w:rsidR="00407CED" w:rsidRDefault="00407CED" w:rsidP="00407CED">
      <w:pPr>
        <w:spacing w:after="0"/>
        <w:rPr>
          <w:rFonts w:eastAsia="Times New Roman" w:cs="Times New Roman"/>
          <w:b/>
        </w:rPr>
      </w:pPr>
    </w:p>
    <w:p w:rsidR="00441588" w:rsidRPr="00441588" w:rsidRDefault="00441588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 xml:space="preserve">Child or young person’s longer term outcomes  </w:t>
      </w:r>
    </w:p>
    <w:p w:rsidR="00407CED" w:rsidRDefault="00441588" w:rsidP="00441588">
      <w:pPr>
        <w:spacing w:after="0"/>
        <w:ind w:firstLine="720"/>
        <w:rPr>
          <w:rFonts w:eastAsia="Times New Roman" w:cs="Times New Roman"/>
        </w:rPr>
      </w:pPr>
      <w:r w:rsidRPr="00441588">
        <w:rPr>
          <w:rFonts w:eastAsia="Times New Roman" w:cs="Times New Roman"/>
        </w:rPr>
        <w:t>Child or young person’s shorter term outcomes</w:t>
      </w:r>
    </w:p>
    <w:p w:rsidR="00441588" w:rsidRPr="00441588" w:rsidRDefault="00441588" w:rsidP="00441588">
      <w:pPr>
        <w:spacing w:after="0"/>
        <w:ind w:firstLine="720"/>
        <w:rPr>
          <w:rFonts w:eastAsia="Times New Roman" w:cs="Times New Roman"/>
        </w:rPr>
      </w:pPr>
    </w:p>
    <w:p w:rsidR="00407CED" w:rsidRPr="00407CED" w:rsidRDefault="00407CED" w:rsidP="00407CE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</w:rPr>
      </w:pPr>
      <w:r w:rsidRPr="00407CED">
        <w:rPr>
          <w:rFonts w:eastAsia="Times New Roman" w:cs="Times New Roman"/>
          <w:b/>
        </w:rPr>
        <w:t>The special educational provision required by the child or young person</w:t>
      </w:r>
    </w:p>
    <w:p w:rsidR="00407CED" w:rsidRDefault="00407CED" w:rsidP="00407CED">
      <w:pPr>
        <w:spacing w:after="0"/>
        <w:ind w:firstLine="648"/>
        <w:rPr>
          <w:rFonts w:eastAsia="Times New Roman" w:cs="Times New Roman"/>
          <w:b/>
        </w:rPr>
      </w:pPr>
    </w:p>
    <w:p w:rsidR="00441588" w:rsidRPr="00441588" w:rsidRDefault="00441588" w:rsidP="00441588">
      <w:pPr>
        <w:spacing w:after="0"/>
        <w:ind w:firstLine="709"/>
        <w:rPr>
          <w:rFonts w:eastAsia="Times New Roman" w:cs="Times New Roman"/>
        </w:rPr>
      </w:pPr>
      <w:r w:rsidRPr="00441588">
        <w:rPr>
          <w:rFonts w:eastAsia="Times New Roman" w:cs="Times New Roman"/>
        </w:rPr>
        <w:t xml:space="preserve">Curriculum arrangements </w:t>
      </w:r>
    </w:p>
    <w:p w:rsidR="00441588" w:rsidRPr="00441588" w:rsidRDefault="00441588" w:rsidP="00441588">
      <w:pPr>
        <w:spacing w:after="0"/>
        <w:ind w:firstLine="709"/>
        <w:rPr>
          <w:rFonts w:eastAsia="Times New Roman" w:cs="Times New Roman"/>
        </w:rPr>
      </w:pPr>
      <w:r w:rsidRPr="00441588">
        <w:rPr>
          <w:rFonts w:eastAsia="Times New Roman" w:cs="Times New Roman"/>
        </w:rPr>
        <w:t xml:space="preserve">Teaching approaches and strategies </w:t>
      </w:r>
    </w:p>
    <w:p w:rsidR="00441588" w:rsidRPr="00441588" w:rsidRDefault="00441588" w:rsidP="00441588">
      <w:pPr>
        <w:spacing w:after="0"/>
        <w:ind w:firstLine="709"/>
        <w:rPr>
          <w:rFonts w:eastAsia="Times New Roman" w:cs="Times New Roman"/>
        </w:rPr>
      </w:pPr>
      <w:r w:rsidRPr="00441588">
        <w:rPr>
          <w:rFonts w:eastAsia="Times New Roman" w:cs="Times New Roman"/>
        </w:rPr>
        <w:t>Specific programmes and activities</w:t>
      </w:r>
    </w:p>
    <w:p w:rsidR="00441588" w:rsidRPr="00441588" w:rsidRDefault="00441588" w:rsidP="00441588">
      <w:pPr>
        <w:spacing w:after="0"/>
        <w:ind w:firstLine="709"/>
        <w:rPr>
          <w:rFonts w:eastAsia="Times New Roman" w:cs="Times New Roman"/>
        </w:rPr>
      </w:pPr>
      <w:r w:rsidRPr="00441588">
        <w:rPr>
          <w:rFonts w:eastAsia="Times New Roman" w:cs="Times New Roman"/>
        </w:rPr>
        <w:t>Specialist facilities, materials and/or equipment</w:t>
      </w:r>
    </w:p>
    <w:p w:rsidR="00441588" w:rsidRPr="00441588" w:rsidRDefault="00441588" w:rsidP="00441588">
      <w:pPr>
        <w:spacing w:after="0"/>
        <w:ind w:firstLine="709"/>
        <w:rPr>
          <w:rFonts w:eastAsia="Times New Roman" w:cs="Times New Roman"/>
        </w:rPr>
      </w:pPr>
      <w:r w:rsidRPr="00441588">
        <w:rPr>
          <w:rFonts w:eastAsia="Times New Roman" w:cs="Times New Roman"/>
        </w:rPr>
        <w:t xml:space="preserve">Support from other agencies </w:t>
      </w:r>
    </w:p>
    <w:p w:rsidR="00441588" w:rsidRPr="00441588" w:rsidRDefault="00441588" w:rsidP="00441588">
      <w:pPr>
        <w:spacing w:after="0"/>
        <w:ind w:firstLine="709"/>
        <w:rPr>
          <w:rFonts w:eastAsia="Times New Roman" w:cs="Times New Roman"/>
        </w:rPr>
      </w:pPr>
      <w:r w:rsidRPr="00441588">
        <w:rPr>
          <w:rFonts w:eastAsia="Times New Roman" w:cs="Times New Roman"/>
        </w:rPr>
        <w:t>Support from the family and/or community</w:t>
      </w:r>
    </w:p>
    <w:p w:rsidR="00441588" w:rsidRPr="00441588" w:rsidRDefault="00441588" w:rsidP="00441588">
      <w:pPr>
        <w:spacing w:after="0"/>
        <w:ind w:firstLine="709"/>
        <w:rPr>
          <w:rFonts w:eastAsia="Times New Roman" w:cs="Times New Roman"/>
        </w:rPr>
      </w:pPr>
      <w:r w:rsidRPr="00441588">
        <w:rPr>
          <w:rFonts w:eastAsia="Times New Roman" w:cs="Times New Roman"/>
        </w:rPr>
        <w:t>Review and monitoring requirements</w:t>
      </w:r>
    </w:p>
    <w:p w:rsidR="00714FA8" w:rsidRDefault="00441588" w:rsidP="00441588">
      <w:pPr>
        <w:spacing w:after="0"/>
        <w:ind w:firstLine="709"/>
      </w:pPr>
      <w:r w:rsidRPr="00441588">
        <w:rPr>
          <w:rFonts w:eastAsia="Times New Roman" w:cs="Times New Roman"/>
        </w:rPr>
        <w:t>SEND Transport</w:t>
      </w:r>
      <w:bookmarkStart w:id="0" w:name="_GoBack"/>
      <w:bookmarkEnd w:id="0"/>
    </w:p>
    <w:sectPr w:rsidR="00714FA8" w:rsidSect="0044158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81E"/>
    <w:multiLevelType w:val="hybridMultilevel"/>
    <w:tmpl w:val="4C92EA84"/>
    <w:lvl w:ilvl="0" w:tplc="747AE3D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 w:themeColor="text1"/>
        <w:sz w:val="24"/>
        <w:szCs w:val="20"/>
        <w:u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619B"/>
    <w:multiLevelType w:val="hybridMultilevel"/>
    <w:tmpl w:val="67441A6C"/>
    <w:lvl w:ilvl="0" w:tplc="F24E4C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szCs w:val="20"/>
        <w:u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ED"/>
    <w:rsid w:val="00025C63"/>
    <w:rsid w:val="0027552B"/>
    <w:rsid w:val="00407CED"/>
    <w:rsid w:val="00441588"/>
    <w:rsid w:val="00451DD9"/>
    <w:rsid w:val="00714FA8"/>
    <w:rsid w:val="0096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D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ED"/>
    <w:rPr>
      <w:rFonts w:ascii="Tahoma" w:hAnsi="Tahoma" w:cs="Tahoma"/>
      <w:bCs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CED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45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5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D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ED"/>
    <w:rPr>
      <w:rFonts w:ascii="Tahoma" w:hAnsi="Tahoma" w:cs="Tahoma"/>
      <w:bCs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CED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45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5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Riddick</dc:creator>
  <cp:lastModifiedBy>Paul Riddick</cp:lastModifiedBy>
  <cp:revision>2</cp:revision>
  <dcterms:created xsi:type="dcterms:W3CDTF">2016-08-22T17:29:00Z</dcterms:created>
  <dcterms:modified xsi:type="dcterms:W3CDTF">2016-08-22T17:29:00Z</dcterms:modified>
</cp:coreProperties>
</file>